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23,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8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94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7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7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2"/>
        </w:trPr>
        <w:tc>
          <w:tcPr>
            <w:tcW w:w="47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941-3150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TWNP</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5.07 below is incorporated by reference into this Item 5.02.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23, 2025, Twin Hospitality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2025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At the Annual Meeting, two proposals were submitted for a vote of the Company’s stockholders, which proposals are described in the Company’s proxy statement for the Annual Meeting filed with the Securities and Exchange Commission on November 13, 2025. Holders of shares of Class A Common Stock and Class B Common Stock voted together as a single class on all matters (including the election of directors) submitted to a vote of stockholders at the Annual Meeting. The number of votes cast for and against and the number of abstentions and broker non-votes with respect to each matter voted upon are set forth below, which amounts reflect an aggregate of the number of votes per share to which all classes of common stock were entitled to vote at the Annual Meeting. The aggregate voting power of all outstanding classes of common stock at the Annual Meeting amounted to 198,154,232 votes.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No. 1 – Election of Directors. </w:t>
      </w:r>
      <w:r>
        <w:rPr>
          <w:rFonts w:ascii="Times New Roman" w:cs="Times New Roman" w:eastAsia="Times New Roman" w:hAnsi="Times New Roman"/>
          <w:sz w:val="18"/>
          <w:szCs w:val="18"/>
          <w:color w:val="auto"/>
        </w:rPr>
        <w:t>Stockholders elected four nominees for director to the Company’s Board of Directors to hold office until the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Stockholders and until their respective successors have been duly elected and qualified. The vote regarding this proposal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Name of Nominee</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Kenneth J. Anderson</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196,737,306</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422,128</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416,241</w:t>
            </w:r>
          </w:p>
        </w:tc>
      </w:tr>
      <w:tr>
        <w:trPr>
          <w:trHeight w:val="216"/>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Lynne L. Collier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196,698,517</w:t>
            </w: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460,918</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416,241</w:t>
            </w:r>
          </w:p>
        </w:tc>
      </w:tr>
      <w:tr>
        <w:trPr>
          <w:trHeight w:val="216"/>
        </w:trPr>
        <w:tc>
          <w:tcPr>
            <w:tcW w:w="3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David Jobe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196,737,425</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422,009</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416,241</w:t>
            </w:r>
          </w:p>
        </w:tc>
      </w:tr>
      <w:tr>
        <w:trPr>
          <w:trHeight w:val="234"/>
        </w:trPr>
        <w:tc>
          <w:tcPr>
            <w:tcW w:w="3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Andrew A. Wiederhorn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196,771,306</w:t>
            </w:r>
          </w:p>
        </w:tc>
        <w:tc>
          <w:tcPr>
            <w:tcW w:w="2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388,129</w:t>
            </w:r>
          </w:p>
        </w:tc>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416,241</w:t>
            </w:r>
          </w:p>
        </w:tc>
      </w:tr>
    </w:tbl>
    <w:p>
      <w:pPr>
        <w:spacing w:after="0" w:line="1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previously disclosed, James Ellis resigned from the Board of Directors prior to the date of the Annual Meeting. The nomination of Mr. Ellis for re-election to the Board at the Annual Meeting was withdrawn, and any votes for Mr. Ellis at the Annual Meeting were disregarded.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No. 2 –Ratification of Appointment of Independent Registered Public Accounting Firm. </w:t>
      </w:r>
      <w:r>
        <w:rPr>
          <w:rFonts w:ascii="Times New Roman" w:cs="Times New Roman" w:eastAsia="Times New Roman" w:hAnsi="Times New Roman"/>
          <w:sz w:val="18"/>
          <w:szCs w:val="18"/>
          <w:color w:val="auto"/>
        </w:rPr>
        <w:t>The proposal to ratify the selection of Macias Gini</w:t>
      </w:r>
    </w:p>
    <w:p>
      <w:pPr>
        <w:spacing w:after="0" w:line="31" w:lineRule="exact"/>
        <w:rPr>
          <w:sz w:val="20"/>
          <w:szCs w:val="20"/>
          <w:color w:val="auto"/>
        </w:rPr>
      </w:pPr>
    </w:p>
    <w:p>
      <w:pPr>
        <w:ind w:firstLine="8"/>
        <w:spacing w:after="0" w:line="260" w:lineRule="auto"/>
        <w:tabs>
          <w:tab w:leader="none" w:pos="1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O’Connell, LLP as the Company’s independent registered public accounting firm for the fiscal year ending December 28, 2025 was approved. The vote regarding this proposal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58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197,561,903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11,408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2,364</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31,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J. Kuick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Kenneth J. Kuick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2025-12-31T14:23:16Z</dcterms:created>
  <dcterms:modified xsi:type="dcterms:W3CDTF">2025-12-31T14:23:16Z</dcterms:modified>
</cp:coreProperties>
</file>