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19, 2026</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FAT Brands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Twin Hospitality Group Inc.</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41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001-38250</w:t>
            </w:r>
          </w:p>
        </w:tc>
        <w:tc>
          <w:tcPr>
            <w:tcW w:w="3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82-1302696</w:t>
            </w:r>
          </w:p>
        </w:tc>
      </w:tr>
      <w:tr>
        <w:trPr>
          <w:trHeight w:val="216"/>
        </w:trPr>
        <w:tc>
          <w:tcPr>
            <w:tcW w:w="41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40" w:type="dxa"/>
            <w:vAlign w:val="bottom"/>
          </w:tcPr>
          <w:p>
            <w:pPr>
              <w:jc w:val="center"/>
              <w:ind w:right="650"/>
              <w:spacing w:after="0"/>
              <w:rPr>
                <w:sz w:val="20"/>
                <w:szCs w:val="20"/>
                <w:color w:val="auto"/>
              </w:rPr>
            </w:pPr>
            <w:r>
              <w:rPr>
                <w:rFonts w:ascii="Times New Roman" w:cs="Times New Roman" w:eastAsia="Times New Roman" w:hAnsi="Times New Roman"/>
                <w:sz w:val="18"/>
                <w:szCs w:val="18"/>
                <w:b w:val="1"/>
                <w:bCs w:val="1"/>
                <w:color w:val="auto"/>
                <w:w w:val="99"/>
              </w:rPr>
              <w:t>001-42395</w:t>
            </w:r>
          </w:p>
        </w:tc>
        <w:tc>
          <w:tcPr>
            <w:tcW w:w="3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rPr>
              <w:t>99-1232362</w:t>
            </w:r>
          </w:p>
        </w:tc>
      </w:tr>
      <w:tr>
        <w:trPr>
          <w:trHeight w:val="216"/>
        </w:trPr>
        <w:tc>
          <w:tcPr>
            <w:tcW w:w="41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3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40" w:type="dxa"/>
            <w:vAlign w:val="bottom"/>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2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02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9720 Wilshire Blvd., Suite 500, Beverly Hills, CA</w:t>
            </w:r>
          </w:p>
        </w:tc>
        <w:tc>
          <w:tcPr>
            <w:tcW w:w="2240" w:type="dxa"/>
            <w:vAlign w:val="bottom"/>
          </w:tcPr>
          <w:p>
            <w:pPr>
              <w:spacing w:after="0"/>
              <w:rPr>
                <w:sz w:val="24"/>
                <w:szCs w:val="24"/>
                <w:color w:val="auto"/>
              </w:rPr>
            </w:pPr>
          </w:p>
        </w:tc>
        <w:tc>
          <w:tcPr>
            <w:tcW w:w="30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90212</w:t>
            </w:r>
          </w:p>
        </w:tc>
      </w:tr>
      <w:tr>
        <w:trPr>
          <w:trHeight w:val="216"/>
        </w:trPr>
        <w:tc>
          <w:tcPr>
            <w:tcW w:w="4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5151 Belt Line Road, Suite 1200, Dallas, TX</w:t>
            </w:r>
          </w:p>
        </w:tc>
        <w:tc>
          <w:tcPr>
            <w:tcW w:w="2240" w:type="dxa"/>
            <w:vAlign w:val="bottom"/>
          </w:tcPr>
          <w:p>
            <w:pPr>
              <w:spacing w:after="0"/>
              <w:rPr>
                <w:sz w:val="18"/>
                <w:szCs w:val="18"/>
                <w:color w:val="auto"/>
              </w:rPr>
            </w:pPr>
          </w:p>
        </w:tc>
        <w:tc>
          <w:tcPr>
            <w:tcW w:w="30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75254</w:t>
            </w:r>
          </w:p>
        </w:tc>
      </w:tr>
      <w:tr>
        <w:trPr>
          <w:trHeight w:val="238"/>
        </w:trPr>
        <w:tc>
          <w:tcPr>
            <w:tcW w:w="4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240" w:type="dxa"/>
            <w:vAlign w:val="bottom"/>
          </w:tcPr>
          <w:p>
            <w:pPr>
              <w:spacing w:after="0"/>
              <w:rPr>
                <w:sz w:val="20"/>
                <w:szCs w:val="20"/>
                <w:color w:val="auto"/>
              </w:rPr>
            </w:pPr>
          </w:p>
        </w:tc>
        <w:tc>
          <w:tcPr>
            <w:tcW w:w="3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(310) 319-1850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 None</w:t>
      </w:r>
    </w:p>
    <w:p>
      <w:pPr>
        <w:spacing w:after="0" w:line="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previously reported, on January 26, 2026, FAT Brands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its direct and indirect subsidiaries, including Twin Hospitality Group Inc. (collectively, the “</w:t>
      </w:r>
      <w:r>
        <w:rPr>
          <w:rFonts w:ascii="Times New Roman" w:cs="Times New Roman" w:eastAsia="Times New Roman" w:hAnsi="Times New Roman"/>
          <w:sz w:val="18"/>
          <w:szCs w:val="18"/>
          <w:b w:val="1"/>
          <w:bCs w:val="1"/>
          <w:color w:val="auto"/>
        </w:rPr>
        <w:t>Debtors</w:t>
      </w:r>
      <w:r>
        <w:rPr>
          <w:rFonts w:ascii="Times New Roman" w:cs="Times New Roman" w:eastAsia="Times New Roman" w:hAnsi="Times New Roman"/>
          <w:sz w:val="18"/>
          <w:szCs w:val="18"/>
          <w:color w:val="auto"/>
        </w:rPr>
        <w:t>”), commenced voluntary cases under chapter 11 of title 11 of the United States Code in the United States Bankruptcy Court for the Southern District of Texas (the “</w:t>
      </w:r>
      <w:r>
        <w:rPr>
          <w:rFonts w:ascii="Times New Roman" w:cs="Times New Roman" w:eastAsia="Times New Roman" w:hAnsi="Times New Roman"/>
          <w:sz w:val="18"/>
          <w:szCs w:val="18"/>
          <w:b w:val="1"/>
          <w:bCs w:val="1"/>
          <w:color w:val="auto"/>
        </w:rPr>
        <w:t>Bankruptcy Court</w:t>
      </w:r>
      <w:r>
        <w:rPr>
          <w:rFonts w:ascii="Times New Roman" w:cs="Times New Roman" w:eastAsia="Times New Roman" w:hAnsi="Times New Roman"/>
          <w:sz w:val="18"/>
          <w:szCs w:val="18"/>
          <w:color w:val="auto"/>
        </w:rPr>
        <w:t xml:space="preserve">”) under the jointly administered caption of </w:t>
      </w:r>
      <w:r>
        <w:rPr>
          <w:rFonts w:ascii="Times New Roman" w:cs="Times New Roman" w:eastAsia="Times New Roman" w:hAnsi="Times New Roman"/>
          <w:sz w:val="18"/>
          <w:szCs w:val="18"/>
          <w:i w:val="1"/>
          <w:iCs w:val="1"/>
          <w:color w:val="auto"/>
        </w:rPr>
        <w:t>In re Fat Brands Inc., et al.</w:t>
      </w:r>
      <w:r>
        <w:rPr>
          <w:rFonts w:ascii="Times New Roman" w:cs="Times New Roman" w:eastAsia="Times New Roman" w:hAnsi="Times New Roman"/>
          <w:sz w:val="18"/>
          <w:szCs w:val="18"/>
          <w:color w:val="auto"/>
        </w:rPr>
        <w:t>, Case Number 26-90126 (ARP) (the “</w:t>
      </w:r>
      <w:r>
        <w:rPr>
          <w:rFonts w:ascii="Times New Roman" w:cs="Times New Roman" w:eastAsia="Times New Roman" w:hAnsi="Times New Roman"/>
          <w:sz w:val="18"/>
          <w:szCs w:val="18"/>
          <w:b w:val="1"/>
          <w:bCs w:val="1"/>
          <w:color w:val="auto"/>
        </w:rPr>
        <w:t>Chapter 11 Cases</w:t>
      </w:r>
      <w:r>
        <w:rPr>
          <w:rFonts w:ascii="Times New Roman" w:cs="Times New Roman" w:eastAsia="Times New Roman" w:hAnsi="Times New Roman"/>
          <w:sz w:val="18"/>
          <w:szCs w:val="18"/>
          <w:color w:val="auto"/>
        </w:rPr>
        <w:t>”). This Current Report on Form 8-K is being filed jointly by the Company and Twin Hospitality Group Inc. (“</w:t>
      </w:r>
      <w:r>
        <w:rPr>
          <w:rFonts w:ascii="Times New Roman" w:cs="Times New Roman" w:eastAsia="Times New Roman" w:hAnsi="Times New Roman"/>
          <w:sz w:val="18"/>
          <w:szCs w:val="18"/>
          <w:b w:val="1"/>
          <w:bCs w:val="1"/>
          <w:color w:val="auto"/>
        </w:rPr>
        <w:t>TWNP</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Information filed with the Bankruptcy Court in connection with the Chapter 11 Cases is accessible on the website of the Debtors’ claims and noticing agent at </w:t>
      </w:r>
      <w:r>
        <w:rPr>
          <w:rFonts w:ascii="Times New Roman" w:cs="Times New Roman" w:eastAsia="Times New Roman" w:hAnsi="Times New Roman"/>
          <w:sz w:val="18"/>
          <w:szCs w:val="18"/>
          <w:u w:val="single" w:color="auto"/>
          <w:color w:val="auto"/>
        </w:rPr>
        <w:t>https://cases.omniagentsolutions.com/?clientId=3773</w:t>
      </w:r>
      <w:r>
        <w:rPr>
          <w:rFonts w:ascii="Times New Roman" w:cs="Times New Roman" w:eastAsia="Times New Roman" w:hAnsi="Times New Roman"/>
          <w:sz w:val="18"/>
          <w:szCs w:val="18"/>
          <w:color w:val="auto"/>
        </w:rPr>
        <w:t>. Such information is not part of this Current Report on Form 8-K. The Debtors intend to use this website, in addition to their press releases, SEC filings and other public communications, as a means of disclosing certain material non-public information and complying with certain applicable disclosure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Stipulation and Agreed Order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Chapter 11 Cases, on March 19, 2026, the Debtors entered into that certain Amended and Restated Stipulation and Agreed Order Regarding Mediated Agreement (the “</w:t>
      </w:r>
      <w:r>
        <w:rPr>
          <w:rFonts w:ascii="Times New Roman" w:cs="Times New Roman" w:eastAsia="Times New Roman" w:hAnsi="Times New Roman"/>
          <w:sz w:val="18"/>
          <w:szCs w:val="18"/>
          <w:b w:val="1"/>
          <w:bCs w:val="1"/>
          <w:color w:val="auto"/>
        </w:rPr>
        <w:t>Stipulation</w:t>
      </w:r>
      <w:r>
        <w:rPr>
          <w:rFonts w:ascii="Times New Roman" w:cs="Times New Roman" w:eastAsia="Times New Roman" w:hAnsi="Times New Roman"/>
          <w:sz w:val="18"/>
          <w:szCs w:val="18"/>
          <w:color w:val="auto"/>
        </w:rPr>
        <w:t>”) by and among the Debtors, Andrew Wiederhorn (the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an ad hoc group of certain holders of the Debtors’ securitization notes (the “</w:t>
      </w:r>
      <w:r>
        <w:rPr>
          <w:rFonts w:ascii="Times New Roman" w:cs="Times New Roman" w:eastAsia="Times New Roman" w:hAnsi="Times New Roman"/>
          <w:sz w:val="18"/>
          <w:szCs w:val="18"/>
          <w:b w:val="1"/>
          <w:bCs w:val="1"/>
          <w:color w:val="auto"/>
        </w:rPr>
        <w:t>Ad Hoc Group</w:t>
      </w:r>
      <w:r>
        <w:rPr>
          <w:rFonts w:ascii="Times New Roman" w:cs="Times New Roman" w:eastAsia="Times New Roman" w:hAnsi="Times New Roman"/>
          <w:sz w:val="18"/>
          <w:szCs w:val="18"/>
          <w:color w:val="auto"/>
        </w:rPr>
        <w:t>”), Moelis &amp; Company LLC (“</w:t>
      </w:r>
      <w:r>
        <w:rPr>
          <w:rFonts w:ascii="Times New Roman" w:cs="Times New Roman" w:eastAsia="Times New Roman" w:hAnsi="Times New Roman"/>
          <w:sz w:val="18"/>
          <w:szCs w:val="18"/>
          <w:b w:val="1"/>
          <w:bCs w:val="1"/>
          <w:color w:val="auto"/>
        </w:rPr>
        <w:t>Moelis</w:t>
      </w:r>
      <w:r>
        <w:rPr>
          <w:rFonts w:ascii="Times New Roman" w:cs="Times New Roman" w:eastAsia="Times New Roman" w:hAnsi="Times New Roman"/>
          <w:sz w:val="18"/>
          <w:szCs w:val="18"/>
          <w:color w:val="auto"/>
        </w:rPr>
        <w:t>”), and the official committee of unsecured creditors in the Chapter 11 Cases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Stipulation provides for the transition of senior management of the Company and preparation of the Company to enter into debtor-in-possession financing facilities to be provided by investment funds affiliated with members of the Ad Hoc Group. The Stipulation provides that the Executive will take a temporary leave of absence from the Debtors beginning on the effective date of the Stipulation and ending on the later of (a) the closing of the sale of substantially all of the Debtors’ restaurant chains and franchise operations and (b) consummation of a confirmed chapter 11 plan for the Company. The Stipulation also provides for aggregate payments of up to $5.0 million to the Executive, funded through the DIP Facilities (as defined below) and payable in installments through July 2026. All existing employment and related agreements between the Company and the Executive terminated as of the effective date of the Stipulation, and such payments will constitute full satisfaction of the Company’s obligations to the Executive (subject to limited exceptions, including certain indemnification rights).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Stipulation also provided that (a) all members of the Executive’s family employed by the Company were terminated as of the Settlement Effective Date and will receive accrued compensation through termination, (b) Moelis will withdraw its retention application, receive no further fees, and will be indemnified by the Debtors, and (c) the Debtors and Committee will provide releases in favor of Moelis and its affiliates, subject to customary exceptions. The Ad Hoc Group also agreed to withdraw their pending motions, including motions seeking appointment of a chapter 11 trustee in the Chapter 11 Cases and suspension of the Executive.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material conditions precedent to performance of the parties under the Stipulation were satisfied on March 19, 2026 upon the (a) entry of an order by the Bankruptcy Court authorizing and approving the Stipulation and (b) entry of an interim order by the Bankruptcy Court (the “</w:t>
      </w:r>
      <w:r>
        <w:rPr>
          <w:rFonts w:ascii="Times New Roman" w:cs="Times New Roman" w:eastAsia="Times New Roman" w:hAnsi="Times New Roman"/>
          <w:sz w:val="18"/>
          <w:szCs w:val="18"/>
          <w:b w:val="1"/>
          <w:bCs w:val="1"/>
          <w:color w:val="auto"/>
        </w:rPr>
        <w:t>Interim DIP Order</w:t>
      </w:r>
      <w:r>
        <w:rPr>
          <w:rFonts w:ascii="Times New Roman" w:cs="Times New Roman" w:eastAsia="Times New Roman" w:hAnsi="Times New Roman"/>
          <w:sz w:val="18"/>
          <w:szCs w:val="18"/>
          <w:color w:val="auto"/>
        </w:rPr>
        <w:t>”) approving the DIP Facilities, with a budget reflecting the payments due to the Executive and all unpaid fees and compensation due to members of the Boards of Directors of the Company and TWNP (other than the Special Committee Directors (as defined below)), subject to the resignation of such directors from their respective boards.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Stipulation, on March 19, 2026, the Executive took a leave of absence as an officer and employee of the Debtors, and the Company terminated the employment of Thayer Wiederhorn (Chief Operating Officer), Taylor Wiederhorn (Chief Development Officer) and Mason Wiederhorn (Chief Brand Officer). Also on March 19, 2026,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voted to reduce the size of the Board from fifteen to two persons, and all members of the Board, other than Patrick Bartels and Neal Goldman (the “</w:t>
      </w:r>
      <w:r>
        <w:rPr>
          <w:rFonts w:ascii="Times New Roman" w:cs="Times New Roman" w:eastAsia="Times New Roman" w:hAnsi="Times New Roman"/>
          <w:sz w:val="18"/>
          <w:szCs w:val="18"/>
          <w:b w:val="1"/>
          <w:bCs w:val="1"/>
          <w:color w:val="auto"/>
        </w:rPr>
        <w:t>Special Committee Directors</w:t>
      </w:r>
      <w:r>
        <w:rPr>
          <w:rFonts w:ascii="Times New Roman" w:cs="Times New Roman" w:eastAsia="Times New Roman" w:hAnsi="Times New Roman"/>
          <w:sz w:val="18"/>
          <w:szCs w:val="18"/>
          <w:color w:val="auto"/>
        </w:rPr>
        <w:t>”), submitted written resignations from the Board effective as of the Stipulation Date. All directors of TWNP, other than the Special Committee Directors, also submitted their written resignations from the Board of Directors of TWNP on such date. The Special Committee Directors, who were appointed on January 26, 2026 to serve as independent directors on the Board to oversee certain restructuring matters, remain as the sole directors of the Company and the other Debtors, including TWNP.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Stipulation does not purport to be complete and is qualified in its entirety by reference to the complete text of the Stipulation, which is attached hereto as Exhibit 10.1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DIP Financing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Interim DIP Order, effective as of March 25, 2026, the Company and TWNP obtained the DIP Facilities by entering into that certain Debtor-In-Possession Credit Agreement (the “</w:t>
      </w:r>
      <w:r>
        <w:rPr>
          <w:rFonts w:ascii="Times New Roman" w:cs="Times New Roman" w:eastAsia="Times New Roman" w:hAnsi="Times New Roman"/>
          <w:sz w:val="18"/>
          <w:szCs w:val="18"/>
          <w:b w:val="1"/>
          <w:bCs w:val="1"/>
          <w:color w:val="auto"/>
        </w:rPr>
        <w:t>DIP Credit Agreement</w:t>
      </w:r>
      <w:r>
        <w:rPr>
          <w:rFonts w:ascii="Times New Roman" w:cs="Times New Roman" w:eastAsia="Times New Roman" w:hAnsi="Times New Roman"/>
          <w:sz w:val="18"/>
          <w:szCs w:val="18"/>
          <w:color w:val="auto"/>
        </w:rPr>
        <w:t>”) by and among (a) the Company, (b) TWNP, (c) the other guarantors from time to time party thereto (d) FAT Brands Royalty I, LLC, FAT Brands Fazoli’s Native I, LLC and FAT Brands GFG Royalty I, LLC (collectively, the “</w:t>
      </w:r>
      <w:r>
        <w:rPr>
          <w:rFonts w:ascii="Times New Roman" w:cs="Times New Roman" w:eastAsia="Times New Roman" w:hAnsi="Times New Roman"/>
          <w:sz w:val="18"/>
          <w:szCs w:val="18"/>
          <w:b w:val="1"/>
          <w:bCs w:val="1"/>
          <w:color w:val="auto"/>
        </w:rPr>
        <w:t>FBG DIP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Borrowers</w:t>
      </w:r>
      <w:r>
        <w:rPr>
          <w:rFonts w:ascii="Times New Roman" w:cs="Times New Roman" w:eastAsia="Times New Roman" w:hAnsi="Times New Roman"/>
          <w:sz w:val="18"/>
          <w:szCs w:val="18"/>
          <w:color w:val="auto"/>
        </w:rPr>
        <w:t>”), (e) Twin Hospitality I, LLC (the “</w:t>
      </w:r>
      <w:r>
        <w:rPr>
          <w:rFonts w:ascii="Times New Roman" w:cs="Times New Roman" w:eastAsia="Times New Roman" w:hAnsi="Times New Roman"/>
          <w:sz w:val="18"/>
          <w:szCs w:val="18"/>
          <w:b w:val="1"/>
          <w:bCs w:val="1"/>
          <w:color w:val="auto"/>
        </w:rPr>
        <w:t>Twin DIP Borrower</w:t>
      </w:r>
      <w:r>
        <w:rPr>
          <w:rFonts w:ascii="Times New Roman" w:cs="Times New Roman" w:eastAsia="Times New Roman" w:hAnsi="Times New Roman"/>
          <w:sz w:val="18"/>
          <w:szCs w:val="18"/>
          <w:color w:val="auto"/>
        </w:rPr>
        <w:t>”), (f) the lenders from time to time party thereto (collectively, the “</w:t>
      </w:r>
      <w:r>
        <w:rPr>
          <w:rFonts w:ascii="Times New Roman" w:cs="Times New Roman" w:eastAsia="Times New Roman" w:hAnsi="Times New Roman"/>
          <w:sz w:val="18"/>
          <w:szCs w:val="18"/>
          <w:b w:val="1"/>
          <w:bCs w:val="1"/>
          <w:color w:val="auto"/>
        </w:rPr>
        <w:t>DIP Lenders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 UMB Bank, N.A., as administrative agent and collateral agent (the “</w:t>
      </w:r>
      <w:r>
        <w:rPr>
          <w:rFonts w:ascii="Times New Roman" w:cs="Times New Roman" w:eastAsia="Times New Roman" w:hAnsi="Times New Roman"/>
          <w:sz w:val="18"/>
          <w:szCs w:val="18"/>
          <w:b w:val="1"/>
          <w:bCs w:val="1"/>
          <w:color w:val="auto"/>
        </w:rPr>
        <w:t>DIP Agent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DIP Credit Agreement provides for two senior secured superpriority debtor-in-possession multiple draw term loan facilities (each, a “</w:t>
      </w:r>
      <w:r>
        <w:rPr>
          <w:rFonts w:ascii="Times New Roman" w:cs="Times New Roman" w:eastAsia="Times New Roman" w:hAnsi="Times New Roman"/>
          <w:sz w:val="18"/>
          <w:szCs w:val="18"/>
          <w:b w:val="1"/>
          <w:bCs w:val="1"/>
          <w:color w:val="auto"/>
        </w:rPr>
        <w:t>DIP Facility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DIP Facilities</w:t>
      </w:r>
      <w:r>
        <w:rPr>
          <w:rFonts w:ascii="Times New Roman" w:cs="Times New Roman" w:eastAsia="Times New Roman" w:hAnsi="Times New Roman"/>
          <w:sz w:val="18"/>
          <w:szCs w:val="18"/>
          <w:color w:val="auto"/>
        </w:rPr>
        <w:t>”) in a combined aggregate principal amount of up to approximately $307.6 million. The first facility, referred to as the FBG DIP Facility, provides for up to $184.6 million to the FBG DIP Borrowers, including approximately $46.1 million of new money term loans and approximately $138.4 million of roll-up loans in respect of certain prepetition secured indebtedness. The second facility, referred to as the Twin DIP Facility, provides for up to approximately $123.0 million to the Twin DIP Borrower, including approximately $30.8 million of new money term loans and approximately $92.3 million of roll-up loans in respect of certain prepetition secured indebtedness. Each DIP Facility is structured as a multiple draw term loan facility, with borrowings available in up to three draws, subject to the satisfaction of customary conditions precedent, including the entry of the final DIP order by the Bankruptcy Court.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under each DIP Facility bear interest at a rate of 12.0% per annum, with a default rate equal to an additional 2.0% per annum. The DIP Credit Agreement provides for a backstop fee equal to 10.0% of the aggregate new money commitments under the DIP Facilities, which fee is earned upon initial funding and payable in kind by being capitalized into the principal amount of the loans. The DIP Credit Agreement also provides for an exit fee, including a fee equal to 2.5% of the new money loans under certain circumstances, which may be paid in kind and, if paid in kind, shall be equal to 7.0% of such obligations. The DIP Credit Agreement also provides for an upfront fee in an amount equal to 2.5% of the new money loans, which fee is earned upon funding of the respective new money loans and payable in kind by being capitalized into the principal amount of the loans. In addition, the Debtors are required to pay customary administrative agent fees to the DIP Agent pursuant to a fee letter and to reimburse the reasonable and documented out-of-pocket fees and expenses of the DIP Agent and the DIP Lenders.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DIP Facility includes an economic roll-up of certain prepetition secured indebtedness into obligations under the DIP Facility. The proceeds of the DIP Facility are to be used, subject to an approved budget and the orders of the Bankruptcy Court, for working capital and general corporate purposes, payment of administrative expenses of the Chapter 11 Cases, funding of a sale process under section 363 of the Bankruptcy Code, payment of professional fees and expenses, certain permitted prepetition obligations and adequate protection payments, and other uses permitted under the DIP Credit Agreement.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DIP Facility matures on the earliest to occur of May 8, 2026, subject to extension with the consent of the Required Lenders (as defined in the DIP Credit Agreement), the effective date of a chapter 11 plan of reorganization, the consummation of a sale of substantially all of the Debtors’ assets, the acceleration of the loans following an event of default, and the occurrence of certain other termination events, including the failure to obtain required Bankruptcy Court orders within specified time periods. The DIP Credit Agreement contains customary milestones applicable to the Chapter 11 Cases, including deadlines for the entry of the final DIP order, the approval of bidding procedures, the commencement of an auction, and the consummation of a sale transaction.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obligations under the DIP Facility are secured, pursuant to the Interim DIP Order, by liens on substantially all assets of the Loan Parties (under and as defined in the DIP Credit Agreement), subject to customary exclusions, and are entitled to superpriority administrative expense status under the Bankruptcy Code. The liens granted under the Interim DIP Order include priming liens. The Interim DIP Order also includes customary adequate protection arrangements in favor of certain prepetition secured creditors.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both"/>
        <w:spacing w:after="0" w:line="256" w:lineRule="auto"/>
        <w:rPr>
          <w:sz w:val="20"/>
          <w:szCs w:val="20"/>
          <w:color w:val="auto"/>
        </w:rPr>
      </w:pPr>
      <w:r>
        <w:rPr>
          <w:rFonts w:ascii="Times New Roman" w:cs="Times New Roman" w:eastAsia="Times New Roman" w:hAnsi="Times New Roman"/>
          <w:sz w:val="18"/>
          <w:szCs w:val="18"/>
          <w:color w:val="auto"/>
        </w:rPr>
        <w:t>The DIP Credit Agreement contains representations and warranties and affirmative and negative covenants that are customary for facilities of this nature, including covenants requiring compliance with an approved budget and variance testing and restricting the incurrence of additional indebtedness, the granting of liens, the making of investments and the disposition of assets. The DIP Credit Agreement also requires the Debtors to pursue a court-supervised sale process. Events of default under the DIP Credit Agreement include, among others, non-payment of principal, interest or fees when due, the failure to comply with case milestones, breaches of covenants, the dismissal or conversion of the Chapter 11 Cases, and the appointment of a trustee or examiner with expanded powers.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full availability of the DIP Facility is subject to approval by the Bankruptcy Court, including the entry of a final order by the Bankruptcy Court authorizing the Debtors to enter into the DIP Credit Agreement and to borrow thereunder.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DIP Credit Agreement does not purport to be complete and is qualified in its entirety by reference to the complete text of the DIP Credit Agreement, which is attached hereto as Exhibit 10.2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pertaining to the DIP Credit Agreement is incorporated by reference into this Item 2.03.</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above under Item 1.01, on March 19, 2026 all directors of the Company, other than Patrick Bartels and Neal Goldman, submitted resignations from the Board of Directors of the Company effective as of such date. The resigning directors were: John Allen, Donald Berchtold, Tyler Child, Lynne Collier, Mark Elenowitz, Peter Feinstein, Matthew Green, John Metz, Andrew Wiederhorn, Mason Wiederhorn, Taylor Wiederhorn, Thayer Wiederhorn and Carmen Vidal. Also on the same date, Andrew Wiederhorn took a temporary leave of absence as an officer and employee of each of the Debtors, including the Company and TWNP, and the Company terminated the employment of Thayer Wiederhorn (Chief Operating Officer), Taylor Wiederhorn (Chief Development Officer) and Mason Wiederhorn (Chief Brand Officer).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Also on March 19, 2026, all directors of TWNP, other than Patrick Bartels and Neal Goldman, submitted resignations from the Board of Directors of TWNP effective as of such date. The directors resigning from the TWNP board were: Kenneth Anderson, Lynne Collier, David Jobe and Andrew Wiederhorn.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4"/>
                <w:szCs w:val="14"/>
                <w:color w:val="auto"/>
              </w:rPr>
            </w:pPr>
          </w:p>
        </w:tc>
        <w:tc>
          <w:tcPr>
            <w:tcW w:w="1014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Amended and Restated Stipulation and Agreed Order Regarding Mediated Agreement, dated March 19, 2026</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45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Debtor-In-Possession Credit Agreement, dated March 25, 2026</w:t>
            </w:r>
          </w:p>
        </w:tc>
        <w:tc>
          <w:tcPr>
            <w:tcW w:w="3320" w:type="dxa"/>
            <w:vAlign w:val="bottom"/>
            <w:tcBorders>
              <w:top w:val="single" w:sz="8" w:color="0000EE"/>
            </w:tcBorders>
          </w:tcPr>
          <w:p>
            <w:pPr>
              <w:spacing w:after="0"/>
              <w:rPr>
                <w:sz w:val="17"/>
                <w:szCs w:val="17"/>
                <w:color w:val="auto"/>
              </w:rPr>
            </w:pPr>
          </w:p>
        </w:tc>
        <w:tc>
          <w:tcPr>
            <w:tcW w:w="2260" w:type="dxa"/>
            <w:vAlign w:val="bottom"/>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right="60" w:firstLine="8"/>
        <w:spacing w:after="0" w:line="282" w:lineRule="auto"/>
        <w:tabs>
          <w:tab w:leader="none" w:pos="1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filing excludes certain schedules and exhibits pursuant to Item 601(a)(5) of Regulation S-K, which the registrant agrees to furnish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FAT Brands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Kenneth J. Kuick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Kenneth J. Kuick</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30,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Twin Hospitality Group Inc.</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Kenneth J. Kuick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Kenneth J. Kuick</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498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IN THE UNITED STATES BANKRUPTCY COURT</w:t>
            </w:r>
          </w:p>
        </w:tc>
      </w:tr>
      <w:tr>
        <w:trPr>
          <w:trHeight w:val="216"/>
        </w:trPr>
        <w:tc>
          <w:tcPr>
            <w:tcW w:w="2780" w:type="dxa"/>
            <w:vAlign w:val="bottom"/>
          </w:tcPr>
          <w:p>
            <w:pPr>
              <w:spacing w:after="0"/>
              <w:rPr>
                <w:sz w:val="18"/>
                <w:szCs w:val="18"/>
                <w:color w:val="auto"/>
              </w:rPr>
            </w:pPr>
          </w:p>
        </w:tc>
        <w:tc>
          <w:tcPr>
            <w:tcW w:w="498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FOR THE SOUTHERN DISTRICT OF TEXAS</w:t>
            </w:r>
          </w:p>
        </w:tc>
      </w:tr>
      <w:tr>
        <w:trPr>
          <w:trHeight w:val="238"/>
        </w:trPr>
        <w:tc>
          <w:tcPr>
            <w:tcW w:w="2780" w:type="dxa"/>
            <w:vAlign w:val="bottom"/>
          </w:tcPr>
          <w:p>
            <w:pPr>
              <w:spacing w:after="0"/>
              <w:rPr>
                <w:sz w:val="20"/>
                <w:szCs w:val="20"/>
                <w:color w:val="auto"/>
              </w:rPr>
            </w:pPr>
          </w:p>
        </w:tc>
        <w:tc>
          <w:tcPr>
            <w:tcW w:w="498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HOUSTON DIVISION</w:t>
            </w:r>
          </w:p>
        </w:tc>
      </w:tr>
      <w:tr>
        <w:trPr>
          <w:trHeight w:val="414"/>
        </w:trPr>
        <w:tc>
          <w:tcPr>
            <w:tcW w:w="2780" w:type="dxa"/>
            <w:vAlign w:val="bottom"/>
          </w:tcPr>
          <w:p>
            <w:pPr>
              <w:spacing w:after="0"/>
              <w:rPr>
                <w:sz w:val="24"/>
                <w:szCs w:val="24"/>
                <w:color w:val="auto"/>
              </w:rPr>
            </w:pPr>
          </w:p>
        </w:tc>
        <w:tc>
          <w:tcPr>
            <w:tcW w:w="29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x</w:t>
            </w:r>
          </w:p>
        </w:tc>
        <w:tc>
          <w:tcPr>
            <w:tcW w:w="2040" w:type="dxa"/>
            <w:vAlign w:val="bottom"/>
          </w:tcPr>
          <w:p>
            <w:pPr>
              <w:spacing w:after="0"/>
              <w:rPr>
                <w:sz w:val="24"/>
                <w:szCs w:val="24"/>
                <w:color w:val="auto"/>
              </w:rPr>
            </w:pP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In re:</w:t>
            </w:r>
          </w:p>
        </w:tc>
        <w:tc>
          <w:tcPr>
            <w:tcW w:w="294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Chapter 11</w:t>
            </w:r>
          </w:p>
        </w:tc>
      </w:tr>
      <w:tr>
        <w:trPr>
          <w:trHeight w:val="432"/>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FAT BRANDS INC.,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w:t>
            </w:r>
          </w:p>
        </w:tc>
        <w:tc>
          <w:tcPr>
            <w:tcW w:w="498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    Case No. 26-90126 (ARP)</w:t>
            </w:r>
          </w:p>
        </w:tc>
      </w:tr>
      <w:tr>
        <w:trPr>
          <w:trHeight w:val="454"/>
        </w:trPr>
        <w:tc>
          <w:tcPr>
            <w:tcW w:w="278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Debtors.</w:t>
            </w:r>
            <w:r>
              <w:rPr>
                <w:rFonts w:ascii="Times New Roman" w:cs="Times New Roman" w:eastAsia="Times New Roman" w:hAnsi="Times New Roman"/>
                <w:sz w:val="29"/>
                <w:szCs w:val="29"/>
                <w:color w:val="auto"/>
                <w:vertAlign w:val="superscript"/>
              </w:rPr>
              <w:t>1</w:t>
            </w:r>
          </w:p>
        </w:tc>
        <w:tc>
          <w:tcPr>
            <w:tcW w:w="294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(Jointly Administered)</w:t>
            </w:r>
          </w:p>
        </w:tc>
      </w:tr>
      <w:tr>
        <w:trPr>
          <w:trHeight w:val="234"/>
        </w:trPr>
        <w:tc>
          <w:tcPr>
            <w:tcW w:w="2780" w:type="dxa"/>
            <w:vAlign w:val="bottom"/>
          </w:tcPr>
          <w:p>
            <w:pPr>
              <w:spacing w:after="0"/>
              <w:rPr>
                <w:sz w:val="20"/>
                <w:szCs w:val="20"/>
                <w:color w:val="auto"/>
              </w:rPr>
            </w:pPr>
          </w:p>
        </w:tc>
        <w:tc>
          <w:tcPr>
            <w:tcW w:w="294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x</w:t>
            </w:r>
          </w:p>
        </w:tc>
        <w:tc>
          <w:tcPr>
            <w:tcW w:w="2040" w:type="dxa"/>
            <w:vAlign w:val="bottom"/>
          </w:tcPr>
          <w:p>
            <w:pPr>
              <w:spacing w:after="0"/>
              <w:rPr>
                <w:sz w:val="20"/>
                <w:szCs w:val="20"/>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STIPULATION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AGREED ORDER REGARDING MEDIATED AGREEMENT</w:t>
      </w:r>
    </w:p>
    <w:p>
      <w:pPr>
        <w:spacing w:after="0" w:line="20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The above-captioned debtors and debtors-in-possession (collectively, the “</w:t>
      </w:r>
      <w:r>
        <w:rPr>
          <w:rFonts w:ascii="Times New Roman" w:cs="Times New Roman" w:eastAsia="Times New Roman" w:hAnsi="Times New Roman"/>
          <w:sz w:val="18"/>
          <w:szCs w:val="18"/>
          <w:b w:val="1"/>
          <w:bCs w:val="1"/>
          <w:i w:val="1"/>
          <w:iCs w:val="1"/>
          <w:color w:val="auto"/>
        </w:rPr>
        <w:t>Debtors</w:t>
      </w:r>
      <w:r>
        <w:rPr>
          <w:rFonts w:ascii="Times New Roman" w:cs="Times New Roman" w:eastAsia="Times New Roman" w:hAnsi="Times New Roman"/>
          <w:sz w:val="18"/>
          <w:szCs w:val="18"/>
          <w:color w:val="auto"/>
        </w:rPr>
        <w:t>”) and together with the following parties (each, a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together with the Debtors,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1300" w:hanging="644"/>
        <w:spacing w:after="0" w:line="262"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Wiederhorn (the “</w:t>
      </w:r>
      <w:r>
        <w:rPr>
          <w:rFonts w:ascii="Times New Roman" w:cs="Times New Roman" w:eastAsia="Times New Roman" w:hAnsi="Times New Roman"/>
          <w:sz w:val="18"/>
          <w:szCs w:val="18"/>
          <w:b w:val="1"/>
          <w:bCs w:val="1"/>
          <w:i w:val="1"/>
          <w:iCs w:val="1"/>
          <w:color w:val="auto"/>
        </w:rPr>
        <w:t>Executive</w:t>
      </w:r>
      <w:r>
        <w:rPr>
          <w:rFonts w:ascii="Times New Roman" w:cs="Times New Roman" w:eastAsia="Times New Roman" w:hAnsi="Times New Roman"/>
          <w:sz w:val="18"/>
          <w:szCs w:val="18"/>
          <w:color w:val="auto"/>
        </w:rPr>
        <w:t>”), in his personal capacity and in his capacity as Chief Executive Officer and Chairman of FAT Brands Inc. (“</w:t>
      </w:r>
      <w:r>
        <w:rPr>
          <w:rFonts w:ascii="Times New Roman" w:cs="Times New Roman" w:eastAsia="Times New Roman" w:hAnsi="Times New Roman"/>
          <w:sz w:val="18"/>
          <w:szCs w:val="18"/>
          <w:b w:val="1"/>
          <w:bCs w:val="1"/>
          <w:i w:val="1"/>
          <w:iCs w:val="1"/>
          <w:color w:val="auto"/>
        </w:rPr>
        <w:t>FAT Brands</w:t>
      </w:r>
      <w:r>
        <w:rPr>
          <w:rFonts w:ascii="Times New Roman" w:cs="Times New Roman" w:eastAsia="Times New Roman" w:hAnsi="Times New Roman"/>
          <w:sz w:val="18"/>
          <w:szCs w:val="18"/>
          <w:color w:val="auto"/>
        </w:rPr>
        <w:t>”), Chief Executive Officer and Chairman of Twin Hospitality Group Inc. (“</w:t>
      </w:r>
      <w:r>
        <w:rPr>
          <w:rFonts w:ascii="Times New Roman" w:cs="Times New Roman" w:eastAsia="Times New Roman" w:hAnsi="Times New Roman"/>
          <w:sz w:val="18"/>
          <w:szCs w:val="18"/>
          <w:b w:val="1"/>
          <w:bCs w:val="1"/>
          <w:i w:val="1"/>
          <w:iCs w:val="1"/>
          <w:color w:val="auto"/>
        </w:rPr>
        <w:t>Twin Hospitality</w:t>
      </w:r>
      <w:r>
        <w:rPr>
          <w:rFonts w:ascii="Times New Roman" w:cs="Times New Roman" w:eastAsia="Times New Roman" w:hAnsi="Times New Roman"/>
          <w:sz w:val="18"/>
          <w:szCs w:val="18"/>
          <w:color w:val="auto"/>
        </w:rPr>
        <w:t>”), as an officer and/or board member of certain other Debtors, as a shareholder of certain of the Debtors, and in any other capacity with respect to any of the Debtors;</w:t>
      </w:r>
    </w:p>
    <w:p>
      <w:pPr>
        <w:spacing w:after="0" w:line="176"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 hoc group (the “</w:t>
      </w:r>
      <w:r>
        <w:rPr>
          <w:rFonts w:ascii="Times New Roman" w:cs="Times New Roman" w:eastAsia="Times New Roman" w:hAnsi="Times New Roman"/>
          <w:sz w:val="18"/>
          <w:szCs w:val="18"/>
          <w:b w:val="1"/>
          <w:bCs w:val="1"/>
          <w:i w:val="1"/>
          <w:iCs w:val="1"/>
          <w:color w:val="auto"/>
        </w:rPr>
        <w:t>WBS Ad Hoc Group</w:t>
      </w:r>
      <w:r>
        <w:rPr>
          <w:rFonts w:ascii="Times New Roman" w:cs="Times New Roman" w:eastAsia="Times New Roman" w:hAnsi="Times New Roman"/>
          <w:sz w:val="18"/>
          <w:szCs w:val="18"/>
          <w:color w:val="auto"/>
        </w:rPr>
        <w:t>”) of certain holders of the Debtors’ fixed-rate securitization notes issued by FAT Brands Royalty I, LLC, FAT Brands GFG Royalty I, LLC, FAT Brands Fazoli’s Native I, LLC, and Twin Hospitality I, LLC, represented by White &amp; Case LLP and Houlihan Lokey Capital, Inc.;</w:t>
      </w:r>
    </w:p>
    <w:p>
      <w:pPr>
        <w:spacing w:after="0" w:line="170"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Moelis &amp; Company LLC (“</w:t>
      </w:r>
      <w:r>
        <w:rPr>
          <w:rFonts w:ascii="Times New Roman" w:cs="Times New Roman" w:eastAsia="Times New Roman" w:hAnsi="Times New Roman"/>
          <w:sz w:val="18"/>
          <w:szCs w:val="18"/>
          <w:b w:val="1"/>
          <w:bCs w:val="1"/>
          <w:i w:val="1"/>
          <w:iCs w:val="1"/>
          <w:color w:val="auto"/>
        </w:rPr>
        <w:t>Moelis</w:t>
      </w:r>
      <w:r>
        <w:rPr>
          <w:rFonts w:ascii="Times New Roman" w:cs="Times New Roman" w:eastAsia="Times New Roman" w:hAnsi="Times New Roman"/>
          <w:sz w:val="18"/>
          <w:szCs w:val="18"/>
          <w:color w:val="auto"/>
        </w:rPr>
        <w:t>”), in its capacity as proposed financial advisor, investment banker, and placement agent to FAT Brands; and</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official committee of unsecured creditors in the Chapter 11 Cases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represented by Paul Hastings LLP and M3 Partners, LP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and through their undersigned counsel, hereby enter into this stipulation and agreed order (this “</w:t>
      </w:r>
      <w:r>
        <w:rPr>
          <w:rFonts w:ascii="Times New Roman" w:cs="Times New Roman" w:eastAsia="Times New Roman" w:hAnsi="Times New Roman"/>
          <w:sz w:val="18"/>
          <w:szCs w:val="18"/>
          <w:b w:val="1"/>
          <w:bCs w:val="1"/>
          <w:i w:val="1"/>
          <w:iCs w:val="1"/>
          <w:color w:val="auto"/>
        </w:rPr>
        <w:t>Stipulation and Agreed Order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7" w:lineRule="exact"/>
        <w:rPr>
          <w:sz w:val="20"/>
          <w:szCs w:val="20"/>
          <w:color w:val="auto"/>
        </w:rPr>
      </w:pPr>
    </w:p>
    <w:p>
      <w:pPr>
        <w:ind w:left="340" w:hanging="332"/>
        <w:spacing w:after="0" w:line="210" w:lineRule="auto"/>
        <w:tabs>
          <w:tab w:leader="none" w:pos="142"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 complete list of the Debtors in the Chapter 11 Cases and the last four digits of each Debtor’s taxpayer identification number (if applicable) may be obtained on the website of the Debtors’ claims and noticing agent at https://omniagentsolutions.com/FATBrands-TwinHospitality. The Debtors’ mailing address for purposes of the Chapter 11 Cases is 9720 Wilshire Blvd., Suite 500, Beverly Hills, CA 90212.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January 26, 2026 (the “</w:t>
      </w:r>
      <w:r>
        <w:rPr>
          <w:rFonts w:ascii="Times New Roman" w:cs="Times New Roman" w:eastAsia="Times New Roman" w:hAnsi="Times New Roman"/>
          <w:sz w:val="18"/>
          <w:szCs w:val="18"/>
          <w:b w:val="1"/>
          <w:bCs w:val="1"/>
          <w:i w:val="1"/>
          <w:iCs w:val="1"/>
          <w:color w:val="auto"/>
        </w:rPr>
        <w:t>Petition Date</w:t>
      </w:r>
      <w:r>
        <w:rPr>
          <w:rFonts w:ascii="Times New Roman" w:cs="Times New Roman" w:eastAsia="Times New Roman" w:hAnsi="Times New Roman"/>
          <w:sz w:val="18"/>
          <w:szCs w:val="18"/>
          <w:color w:val="auto"/>
        </w:rPr>
        <w:t>”), the Debtors filed voluntary petitions thereby commencing the chapter 11 cases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jointly administered caption of </w:t>
      </w:r>
      <w:r>
        <w:rPr>
          <w:rFonts w:ascii="Times New Roman" w:cs="Times New Roman" w:eastAsia="Times New Roman" w:hAnsi="Times New Roman"/>
          <w:sz w:val="18"/>
          <w:szCs w:val="18"/>
          <w:i w:val="1"/>
          <w:iCs w:val="1"/>
          <w:color w:val="auto"/>
        </w:rPr>
        <w:t>In re Fat Brands Inc., et al.</w:t>
      </w:r>
      <w:r>
        <w:rPr>
          <w:rFonts w:ascii="Times New Roman" w:cs="Times New Roman" w:eastAsia="Times New Roman" w:hAnsi="Times New Roman"/>
          <w:sz w:val="18"/>
          <w:szCs w:val="18"/>
          <w:color w:val="auto"/>
        </w:rPr>
        <w:t>, Case Number 26-90126 (ARP) (collectively, the “</w:t>
      </w:r>
      <w:r>
        <w:rPr>
          <w:rFonts w:ascii="Times New Roman" w:cs="Times New Roman" w:eastAsia="Times New Roman" w:hAnsi="Times New Roman"/>
          <w:sz w:val="18"/>
          <w:szCs w:val="18"/>
          <w:b w:val="1"/>
          <w:bCs w:val="1"/>
          <w:i w:val="1"/>
          <w:iCs w:val="1"/>
          <w:color w:val="auto"/>
        </w:rPr>
        <w:t>Chapter 11 Cases</w:t>
      </w:r>
      <w:r>
        <w:rPr>
          <w:rFonts w:ascii="Times New Roman" w:cs="Times New Roman" w:eastAsia="Times New Roman" w:hAnsi="Times New Roman"/>
          <w:sz w:val="18"/>
          <w:szCs w:val="18"/>
          <w:color w:val="auto"/>
        </w:rPr>
        <w:t>”) in the United States Bankruptcy Court for the Southern District of Texas (the “</w:t>
      </w:r>
      <w:r>
        <w:rPr>
          <w:rFonts w:ascii="Times New Roman" w:cs="Times New Roman" w:eastAsia="Times New Roman" w:hAnsi="Times New Roman"/>
          <w:sz w:val="18"/>
          <w:szCs w:val="18"/>
          <w:b w:val="1"/>
          <w:bCs w:val="1"/>
          <w:i w:val="1"/>
          <w:iCs w:val="1"/>
          <w:color w:val="auto"/>
        </w:rPr>
        <w:t>Court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the Petition Date, each of FAT Brands, Twin Hospitality, and certain other Debtors (collectively, the “</w:t>
      </w:r>
      <w:r>
        <w:rPr>
          <w:rFonts w:ascii="Times New Roman" w:cs="Times New Roman" w:eastAsia="Times New Roman" w:hAnsi="Times New Roman"/>
          <w:sz w:val="18"/>
          <w:szCs w:val="18"/>
          <w:b w:val="1"/>
          <w:bCs w:val="1"/>
          <w:i w:val="1"/>
          <w:iCs w:val="1"/>
          <w:color w:val="auto"/>
        </w:rPr>
        <w:t>SC Entities</w:t>
      </w:r>
      <w:r>
        <w:rPr>
          <w:rFonts w:ascii="Times New Roman" w:cs="Times New Roman" w:eastAsia="Times New Roman" w:hAnsi="Times New Roman"/>
          <w:sz w:val="18"/>
          <w:szCs w:val="18"/>
          <w:color w:val="auto"/>
        </w:rPr>
        <w:t>”) formed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committees of its board (the “</w:t>
      </w:r>
      <w:r>
        <w:rPr>
          <w:rFonts w:ascii="Times New Roman" w:cs="Times New Roman" w:eastAsia="Times New Roman" w:hAnsi="Times New Roman"/>
          <w:sz w:val="18"/>
          <w:szCs w:val="18"/>
          <w:b w:val="1"/>
          <w:bCs w:val="1"/>
          <w:i w:val="1"/>
          <w:iCs w:val="1"/>
          <w:color w:val="auto"/>
        </w:rPr>
        <w:t>Special Committees</w:t>
      </w:r>
      <w:r>
        <w:rPr>
          <w:rFonts w:ascii="Times New Roman" w:cs="Times New Roman" w:eastAsia="Times New Roman" w:hAnsi="Times New Roman"/>
          <w:sz w:val="18"/>
          <w:szCs w:val="18"/>
          <w:color w:val="auto"/>
        </w:rPr>
        <w:t>”) and appointed Neal Goldman and Patrick Bartels (collectively, the “</w:t>
      </w:r>
      <w:r>
        <w:rPr>
          <w:rFonts w:ascii="Times New Roman" w:cs="Times New Roman" w:eastAsia="Times New Roman" w:hAnsi="Times New Roman"/>
          <w:sz w:val="18"/>
          <w:szCs w:val="18"/>
          <w:b w:val="1"/>
          <w:bCs w:val="1"/>
          <w:i w:val="1"/>
          <w:iCs w:val="1"/>
          <w:color w:val="auto"/>
        </w:rPr>
        <w:t>Special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to serve as the members of the Special Committees;</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following discussions and an agreement that mediation may be an efficient and effective mechanism to consensually resolve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issues relating to the Chapter 11 Cases, including, among other items, the </w:t>
      </w:r>
      <w:r>
        <w:rPr>
          <w:rFonts w:ascii="Times New Roman" w:cs="Times New Roman" w:eastAsia="Times New Roman" w:hAnsi="Times New Roman"/>
          <w:sz w:val="18"/>
          <w:szCs w:val="18"/>
          <w:i w:val="1"/>
          <w:iCs w:val="1"/>
          <w:color w:val="auto"/>
        </w:rPr>
        <w:t>Emergency Motion of Debtors for Entry of Interim and Final Orders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Authorizing Debtors to Use Cash Collateral; (II) Granting Adequate Protection for the Use of Cash Collateral; (III) Scheduling a Final Hearing; and (IV) Granting Related Relief </w:t>
      </w:r>
      <w:r>
        <w:rPr>
          <w:rFonts w:ascii="Times New Roman" w:cs="Times New Roman" w:eastAsia="Times New Roman" w:hAnsi="Times New Roman"/>
          <w:sz w:val="18"/>
          <w:szCs w:val="18"/>
          <w:color w:val="auto"/>
        </w:rPr>
        <w:t>[Docket No. 18];</w:t>
      </w:r>
      <w:r>
        <w:rPr>
          <w:rFonts w:ascii="Times New Roman" w:cs="Times New Roman" w:eastAsia="Times New Roman" w:hAnsi="Times New Roman"/>
          <w:sz w:val="18"/>
          <w:szCs w:val="18"/>
          <w:i w:val="1"/>
          <w:iCs w:val="1"/>
          <w:color w:val="auto"/>
        </w:rPr>
        <w:t xml:space="preserve"> The Ad Hoc Group of Securitization Noteholders’ Motion for an Order Appointing a Chapter 11 Trustee for the Securitization Debtors </w:t>
      </w:r>
      <w:r>
        <w:rPr>
          <w:rFonts w:ascii="Times New Roman" w:cs="Times New Roman" w:eastAsia="Times New Roman" w:hAnsi="Times New Roman"/>
          <w:sz w:val="18"/>
          <w:szCs w:val="18"/>
          <w:color w:val="auto"/>
        </w:rPr>
        <w:t>[Docket No. 63] (the “</w:t>
      </w:r>
      <w:r>
        <w:rPr>
          <w:rFonts w:ascii="Times New Roman" w:cs="Times New Roman" w:eastAsia="Times New Roman" w:hAnsi="Times New Roman"/>
          <w:sz w:val="18"/>
          <w:szCs w:val="18"/>
          <w:b w:val="1"/>
          <w:bCs w:val="1"/>
          <w:i w:val="1"/>
          <w:iCs w:val="1"/>
          <w:color w:val="auto"/>
        </w:rPr>
        <w:t>Trustee Motion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Ad Hoc Group of Securitization Noteholders’ Emergency Motion for an Order </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Temporarily Suspending Andrew Wiederhorn as Chief Executive Officer, (II) Vesting Authority in the Debtors’ Special Committee, and (III) Granting Related Relief [Docket No. 182] (the “</w:t>
      </w:r>
      <w:r>
        <w:rPr>
          <w:rFonts w:ascii="Times New Roman" w:cs="Times New Roman" w:eastAsia="Times New Roman" w:hAnsi="Times New Roman"/>
          <w:sz w:val="18"/>
          <w:szCs w:val="18"/>
          <w:b w:val="1"/>
          <w:bCs w:val="1"/>
          <w:i w:val="1"/>
          <w:iCs w:val="1"/>
          <w:color w:val="auto"/>
        </w:rPr>
        <w:t>Suspension Motion</w:t>
      </w:r>
      <w:r>
        <w:rPr>
          <w:rFonts w:ascii="Times New Roman" w:cs="Times New Roman" w:eastAsia="Times New Roman" w:hAnsi="Times New Roman"/>
          <w:sz w:val="18"/>
          <w:szCs w:val="18"/>
          <w:color w:val="auto"/>
        </w:rPr>
        <w:t>”); and debtor-in-possession financing for the Chapter 11 Cases, the Debtors and the WBS Ad Hoc Group agreed to a proposed form of order providing for non-binding mediation before Judge Marvin Isgur (the “</w:t>
      </w:r>
      <w:r>
        <w:rPr>
          <w:rFonts w:ascii="Times New Roman" w:cs="Times New Roman" w:eastAsia="Times New Roman" w:hAnsi="Times New Roman"/>
          <w:sz w:val="18"/>
          <w:szCs w:val="18"/>
          <w:b w:val="1"/>
          <w:bCs w:val="1"/>
          <w:i w:val="1"/>
          <w:iCs w:val="1"/>
          <w:color w:val="auto"/>
        </w:rPr>
        <w:t>Mediator</w:t>
      </w:r>
      <w:r>
        <w:rPr>
          <w:rFonts w:ascii="Times New Roman" w:cs="Times New Roman" w:eastAsia="Times New Roman" w:hAnsi="Times New Roman"/>
          <w:sz w:val="18"/>
          <w:szCs w:val="18"/>
          <w:color w:val="auto"/>
        </w:rPr>
        <w:t>”), which the Debtors filed on January 28, 2026 [Docket No. 92];</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January 28, 2026, the Court entered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Stipulated Mediation Order Appointing Judge Marvin Isgur as Mediator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[Docket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105], which provided for non-binding mediation before the Mediator (the “</w:t>
      </w:r>
      <w:r>
        <w:rPr>
          <w:rFonts w:ascii="Times New Roman" w:cs="Times New Roman" w:eastAsia="Times New Roman" w:hAnsi="Times New Roman"/>
          <w:sz w:val="18"/>
          <w:szCs w:val="18"/>
          <w:b w:val="1"/>
          <w:bCs w:val="1"/>
          <w:i w:val="1"/>
          <w:iCs w:val="1"/>
          <w:color w:val="auto"/>
        </w:rPr>
        <w:t>Mediation</w:t>
      </w:r>
      <w:r>
        <w:rPr>
          <w:rFonts w:ascii="Times New Roman" w:cs="Times New Roman" w:eastAsia="Times New Roman" w:hAnsi="Times New Roman"/>
          <w:sz w:val="18"/>
          <w:szCs w:val="18"/>
          <w:color w:val="auto"/>
        </w:rPr>
        <w:t>”), with an outside termination date of February 19, 2026, subject to extension upon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on February 6, 2026, the Office of the United States Trustee for the Southern District of Texas appointed the Committee [Docket No.</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186];</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February 13, 2026, the Court entered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Stipulated Order Joining Additional Parties to the Mediation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[Docket No. 246],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joined the Committee as a party to the Mediation, and subsequently entered orders extending the termination date of the Mediation to March 3, 2026, and thereafter to March 9, 2026, and thereafter to March 17, 2026, and thereafter to March 24, 2026 [Docket Nos. 279, 335, 406, and 434];</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March 3, 2026, FAT Brands filed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Application of Debtor FAT Brands, Inc. for Entry of an Order Authorizing the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and Retention of Moelis &amp; Company LLC as its Financial Advisor, Investment Banker and Placement Agent Effective as of February 1, 2026 </w:t>
      </w:r>
      <w:r>
        <w:rPr>
          <w:rFonts w:ascii="Times New Roman" w:cs="Times New Roman" w:eastAsia="Times New Roman" w:hAnsi="Times New Roman"/>
          <w:sz w:val="18"/>
          <w:szCs w:val="18"/>
          <w:color w:val="auto"/>
        </w:rPr>
        <w:t>[Docket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352];</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March 11, 2026, Judge Isgur delivered a final Mediation proposal to the Parties to which the Parties agreed in principle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Mediation Proposal</w:t>
      </w:r>
      <w:r>
        <w:rPr>
          <w:rFonts w:ascii="Times New Roman" w:cs="Times New Roman" w:eastAsia="Times New Roman" w:hAnsi="Times New Roman"/>
          <w:sz w:val="18"/>
          <w:szCs w:val="18"/>
          <w:color w:val="auto"/>
        </w:rPr>
        <w:t>”) and is memorialized in this Stipulation and Agreed Order;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herewith, the WBS Ad Hoc Group has proposed, and the Debtors intend to seek, approval of the DIP Facility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defined below);</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recitals, which are incorporated into this Stipulation and Agreed Order, the Parties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stipulate and agree as follows:</w:t>
      </w:r>
    </w:p>
    <w:p>
      <w:pPr>
        <w:spacing w:after="0" w:line="155" w:lineRule="exact"/>
        <w:rPr>
          <w:sz w:val="20"/>
          <w:szCs w:val="20"/>
          <w:color w:val="auto"/>
        </w:rPr>
      </w:pPr>
    </w:p>
    <w:p>
      <w:pPr>
        <w:ind w:right="20" w:firstLine="656"/>
        <w:spacing w:after="0" w:line="286" w:lineRule="auto"/>
        <w:tabs>
          <w:tab w:leader="none" w:pos="8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Conditions Precedent. </w:t>
      </w:r>
      <w:r>
        <w:rPr>
          <w:rFonts w:ascii="Times New Roman" w:cs="Times New Roman" w:eastAsia="Times New Roman" w:hAnsi="Times New Roman"/>
          <w:sz w:val="18"/>
          <w:szCs w:val="18"/>
          <w:color w:val="auto"/>
        </w:rPr>
        <w:t>Performance under this Stipulation and Agreed Order is conditioned on each of the following having occurred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which such conditions have occurred, the “</w:t>
      </w:r>
      <w:r>
        <w:rPr>
          <w:rFonts w:ascii="Times New Roman" w:cs="Times New Roman" w:eastAsia="Times New Roman" w:hAnsi="Times New Roman"/>
          <w:sz w:val="18"/>
          <w:szCs w:val="18"/>
          <w:b w:val="1"/>
          <w:bCs w:val="1"/>
          <w:i w:val="1"/>
          <w:iCs w:val="1"/>
          <w:color w:val="auto"/>
        </w:rPr>
        <w:t>Settlement Effective Date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(or its authorized representative) has received a fully executed copy of this Stipulation and Agreed Order;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has entered an order authorizing and approving this Stipulation and Agreed Order; and</w:t>
      </w:r>
    </w:p>
    <w:p>
      <w:pPr>
        <w:spacing w:after="0" w:line="221"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has entered an interim order (the “</w:t>
      </w:r>
      <w:r>
        <w:rPr>
          <w:rFonts w:ascii="Times New Roman" w:cs="Times New Roman" w:eastAsia="Times New Roman" w:hAnsi="Times New Roman"/>
          <w:sz w:val="18"/>
          <w:szCs w:val="18"/>
          <w:b w:val="1"/>
          <w:bCs w:val="1"/>
          <w:i w:val="1"/>
          <w:iCs w:val="1"/>
          <w:color w:val="auto"/>
        </w:rPr>
        <w:t>Interim DIP Order</w:t>
      </w:r>
      <w:r>
        <w:rPr>
          <w:rFonts w:ascii="Times New Roman" w:cs="Times New Roman" w:eastAsia="Times New Roman" w:hAnsi="Times New Roman"/>
          <w:sz w:val="18"/>
          <w:szCs w:val="18"/>
          <w:color w:val="auto"/>
        </w:rPr>
        <w:t>”) approving the debtor-in-possession financing facility thereunder (the “</w:t>
      </w:r>
      <w:r>
        <w:rPr>
          <w:rFonts w:ascii="Times New Roman" w:cs="Times New Roman" w:eastAsia="Times New Roman" w:hAnsi="Times New Roman"/>
          <w:sz w:val="18"/>
          <w:szCs w:val="18"/>
          <w:b w:val="1"/>
          <w:bCs w:val="1"/>
          <w:i w:val="1"/>
          <w:iCs w:val="1"/>
          <w:color w:val="auto"/>
        </w:rPr>
        <w:t>DIP Facility</w:t>
      </w:r>
      <w:r>
        <w:rPr>
          <w:rFonts w:ascii="Times New Roman" w:cs="Times New Roman" w:eastAsia="Times New Roman" w:hAnsi="Times New Roman"/>
          <w:sz w:val="18"/>
          <w:szCs w:val="18"/>
          <w:color w:val="auto"/>
        </w:rPr>
        <w:t>”) with a budget reflecting amounts to be paid in section 2.</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DIP Facility.</w:t>
      </w:r>
      <w:r>
        <w:rPr>
          <w:rFonts w:ascii="Times New Roman" w:cs="Times New Roman" w:eastAsia="Times New Roman" w:hAnsi="Times New Roman"/>
          <w:sz w:val="18"/>
          <w:szCs w:val="18"/>
          <w:color w:val="auto"/>
        </w:rPr>
        <w:t xml:space="preserve"> Subject to the occurrence of the Settlement Effective Date, the following disbursements shall be made from the DIP Facility:</w:t>
      </w:r>
    </w:p>
    <w:p>
      <w:pPr>
        <w:spacing w:after="0" w:line="229" w:lineRule="exact"/>
        <w:rPr>
          <w:sz w:val="20"/>
          <w:szCs w:val="20"/>
          <w:color w:val="auto"/>
        </w:rPr>
      </w:pPr>
    </w:p>
    <w:p>
      <w:pPr>
        <w:jc w:val="both"/>
        <w:ind w:left="1300" w:hanging="644"/>
        <w:spacing w:after="0" w:line="266"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to be funded to FAT Brands in the first draw of the DIP Facility for an initial payment to the Executive upon entry of the Interim DIP Order and closing and funding of the DIP Facility (the “</w:t>
      </w:r>
      <w:r>
        <w:rPr>
          <w:rFonts w:ascii="Times New Roman" w:cs="Times New Roman" w:eastAsia="Times New Roman" w:hAnsi="Times New Roman"/>
          <w:sz w:val="18"/>
          <w:szCs w:val="18"/>
          <w:b w:val="1"/>
          <w:bCs w:val="1"/>
          <w:i w:val="1"/>
          <w:iCs w:val="1"/>
          <w:color w:val="auto"/>
        </w:rPr>
        <w:t>Initial Governance Agreement Payment</w:t>
      </w:r>
      <w:r>
        <w:rPr>
          <w:rFonts w:ascii="Times New Roman" w:cs="Times New Roman" w:eastAsia="Times New Roman" w:hAnsi="Times New Roman"/>
          <w:sz w:val="18"/>
          <w:szCs w:val="18"/>
          <w:color w:val="auto"/>
        </w:rPr>
        <w:t>” and, together with the payments in (ii), (iii), (iv), and (v) below, the “</w:t>
      </w:r>
      <w:r>
        <w:rPr>
          <w:rFonts w:ascii="Times New Roman" w:cs="Times New Roman" w:eastAsia="Times New Roman" w:hAnsi="Times New Roman"/>
          <w:sz w:val="18"/>
          <w:szCs w:val="18"/>
          <w:b w:val="1"/>
          <w:bCs w:val="1"/>
          <w:i w:val="1"/>
          <w:iCs w:val="1"/>
          <w:color w:val="auto"/>
        </w:rPr>
        <w:t>Governance Agreement Payments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to be funded to FAT Brands for payment to the Executive on April 30, 2026;</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to be funded to FAT Brands for payment to the Executive on May 29, 2026;</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to be funded to FAT Brands for payment to the Executive on June 30, 2026;</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to be funded to FAT Brands for payment to the Executive on July 31, 2026; and</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Resignation (as defined below), the total amount of all unpaid compensation and fees of the members of the boards of directors of the FAT Brands and Twin Hospitality (other than the Special Committee Directors) through March 31, 2026, in full satisfaction of any and all liabilities of any Debtor to such members, which amount is to be funded to such members no later than April 1, 2026 (the “</w:t>
      </w:r>
      <w:r>
        <w:rPr>
          <w:rFonts w:ascii="Times New Roman" w:cs="Times New Roman" w:eastAsia="Times New Roman" w:hAnsi="Times New Roman"/>
          <w:sz w:val="18"/>
          <w:szCs w:val="18"/>
          <w:b w:val="1"/>
          <w:bCs w:val="1"/>
          <w:i w:val="1"/>
          <w:iCs w:val="1"/>
          <w:color w:val="auto"/>
        </w:rPr>
        <w:t>Director Fees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for the avoidance of doubt, absent the Resignation, no Director Fees shall be payable under this Stipulation and Agreed Order.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For the avoidance of doubt, nothing herein shall be deemed to constitute consent by the Committee to the Interim DIP Order or the DIP Facility, and all of the Committee’s rights to object to such Interim DIP Order and DIP Facility are fully preserved.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clarity, all agreements between the Debtors and Executive will be deemed terminated on the Settlement Effective Date, including, without limitation, all employment or consulting agreements between the Parties, and the Governance Agreement Payments shall be in full satisfaction of any and all liabilities of any Debtor to the Executive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termination will not affect any claims for indemnification, exculpation, or similar provisions in favor of the Executive arising from the agreements or instruments listed on </w:t>
      </w:r>
      <w:r>
        <w:rPr>
          <w:rFonts w:ascii="Times New Roman" w:cs="Times New Roman" w:eastAsia="Times New Roman" w:hAnsi="Times New Roman"/>
          <w:sz w:val="18"/>
          <w:szCs w:val="18"/>
          <w:b w:val="1"/>
          <w:bCs w:val="1"/>
          <w:u w:val="single" w:color="auto"/>
          <w:color w:val="auto"/>
        </w:rPr>
        <w:t>Schedule 1</w:t>
      </w:r>
      <w:r>
        <w:rPr>
          <w:rFonts w:ascii="Times New Roman" w:cs="Times New Roman" w:eastAsia="Times New Roman" w:hAnsi="Times New Roman"/>
          <w:sz w:val="18"/>
          <w:szCs w:val="18"/>
          <w:color w:val="auto"/>
        </w:rPr>
        <w:t xml:space="preserve"> to this Stipulation and Agreed Order for matters relating to the period prior to the Settlement Effective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this Stipulation and Agreed Order shall not affect the priority of any indemnification claims, and no such claims shall be afforded administrative status based in whole or in part on this Stipulation and Agreed Order. The Executive’s compensation as an employee of the Debtors shall cease as of the Settlement Effective Date. The Parties acknowledge that the Governance Agreement Payments are not payment for services other than Executive’s obligation to cooperate as set forth herein.</w:t>
      </w:r>
    </w:p>
    <w:p>
      <w:pPr>
        <w:spacing w:after="0" w:line="188" w:lineRule="exact"/>
        <w:rPr>
          <w:sz w:val="20"/>
          <w:szCs w:val="20"/>
          <w:color w:val="auto"/>
        </w:rPr>
      </w:pPr>
    </w:p>
    <w:p>
      <w:pPr>
        <w:jc w:val="both"/>
        <w:ind w:firstLine="656"/>
        <w:spacing w:after="0" w:line="254" w:lineRule="auto"/>
        <w:tabs>
          <w:tab w:leader="none" w:pos="8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Corporate Governance of the Debtors. </w:t>
      </w:r>
      <w:r>
        <w:rPr>
          <w:rFonts w:ascii="Times New Roman" w:cs="Times New Roman" w:eastAsia="Times New Roman" w:hAnsi="Times New Roman"/>
          <w:sz w:val="18"/>
          <w:szCs w:val="18"/>
          <w:color w:val="auto"/>
        </w:rPr>
        <w:t>All non-Special Committee Directors of the Debtor entities shall resign effective as of the date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Effective Date (the “</w:t>
      </w:r>
      <w:r>
        <w:rPr>
          <w:rFonts w:ascii="Times New Roman" w:cs="Times New Roman" w:eastAsia="Times New Roman" w:hAnsi="Times New Roman"/>
          <w:sz w:val="18"/>
          <w:szCs w:val="18"/>
          <w:b w:val="1"/>
          <w:bCs w:val="1"/>
          <w:i w:val="1"/>
          <w:iCs w:val="1"/>
          <w:color w:val="auto"/>
        </w:rPr>
        <w:t>Resignation</w:t>
      </w:r>
      <w:r>
        <w:rPr>
          <w:rFonts w:ascii="Times New Roman" w:cs="Times New Roman" w:eastAsia="Times New Roman" w:hAnsi="Times New Roman"/>
          <w:sz w:val="18"/>
          <w:szCs w:val="18"/>
          <w:color w:val="auto"/>
        </w:rPr>
        <w:t>”), and sole and exclusive authority to manage the affairs of FAT Brands, Twin Hospitality, and their subsidiaries shall be vested in the Special Committees and any individual selected by the Special Committees to serve as the Chief Executive Officer (the “</w:t>
      </w:r>
      <w:r>
        <w:rPr>
          <w:rFonts w:ascii="Times New Roman" w:cs="Times New Roman" w:eastAsia="Times New Roman" w:hAnsi="Times New Roman"/>
          <w:sz w:val="18"/>
          <w:szCs w:val="18"/>
          <w:b w:val="1"/>
          <w:bCs w:val="1"/>
          <w:i w:val="1"/>
          <w:iCs w:val="1"/>
          <w:color w:val="auto"/>
        </w:rPr>
        <w:t>New Chapter 11 CEO</w:t>
      </w:r>
      <w:r>
        <w:rPr>
          <w:rFonts w:ascii="Times New Roman" w:cs="Times New Roman" w:eastAsia="Times New Roman" w:hAnsi="Times New Roman"/>
          <w:sz w:val="18"/>
          <w:szCs w:val="18"/>
          <w:color w:val="auto"/>
        </w:rPr>
        <w:t>”) of the Debtors (which may be the Debtors’ Chief Restructuring Officer or Deputy Chief Restructuring Officer (together with the Chief Restructuring Officer, the “</w:t>
      </w:r>
      <w:r>
        <w:rPr>
          <w:rFonts w:ascii="Times New Roman" w:cs="Times New Roman" w:eastAsia="Times New Roman" w:hAnsi="Times New Roman"/>
          <w:sz w:val="18"/>
          <w:szCs w:val="18"/>
          <w:b w:val="1"/>
          <w:bCs w:val="1"/>
          <w:i w:val="1"/>
          <w:iCs w:val="1"/>
          <w:color w:val="auto"/>
        </w:rPr>
        <w:t>CROs</w:t>
      </w:r>
      <w:r>
        <w:rPr>
          <w:rFonts w:ascii="Times New Roman" w:cs="Times New Roman" w:eastAsia="Times New Roman" w:hAnsi="Times New Roman"/>
          <w:sz w:val="18"/>
          <w:szCs w:val="18"/>
          <w:color w:val="auto"/>
        </w:rPr>
        <w:t>”), a business executive, or any other person selected by the Special Committees, which person will be subject to approval by the WBS Ad Hoc Group). For the avoidance of doubt, the Resignation shall not affect the departing-directors’ access to directors and officers insurance coverage for acts through the date of the Resignation or rights of indemnification and there shall be no termination, revocation, amendment, or modification of any directors and officers insurance coverage or rights of indemnification that existed as of the Settlement Effective Date that would in any way adversely affect the rights of the resigning members of the board of directors, and notwithstanding section 12 hereof, each of whom shall be an intended third-party beneficiary of this provision. In the event that the New Chapter 11 CEO is an individual other than the Debtors’ CROs, the CROs’ roles and responsibilities shall continue, subject to the oversight of the Special Committees and coordination with the New Chapter 11 CEO.</w:t>
      </w:r>
    </w:p>
    <w:p>
      <w:pPr>
        <w:spacing w:after="0" w:line="182"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Leave of Absence. </w:t>
      </w:r>
      <w:r>
        <w:rPr>
          <w:rFonts w:ascii="Times New Roman" w:cs="Times New Roman" w:eastAsia="Times New Roman" w:hAnsi="Times New Roman"/>
          <w:sz w:val="18"/>
          <w:szCs w:val="18"/>
          <w:color w:val="auto"/>
        </w:rPr>
        <w:t>The Executive shall take a temporary leave of absence as follows:</w:t>
      </w:r>
    </w:p>
    <w:p>
      <w:pPr>
        <w:spacing w:after="0" w:line="229" w:lineRule="exact"/>
        <w:rPr>
          <w:sz w:val="20"/>
          <w:szCs w:val="20"/>
          <w:color w:val="auto"/>
        </w:rPr>
      </w:pPr>
    </w:p>
    <w:p>
      <w:pPr>
        <w:ind w:left="1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leave of absence shall be from the date of the Settlement Effective Date and end on the later of (a) the closing of the sale of substantially all of the Debtors’ restaurant chains and franchise operations and (b) consummation of a confirmed chapter 11 plan;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both"/>
        <w:ind w:left="644" w:hanging="644"/>
        <w:spacing w:after="0" w:line="253" w:lineRule="auto"/>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permitted under this Stipulation and Agreed Order or as, otherwise authorized by the New Chapter 11 CEO or the Debtors’ CROs in writing, as set forth in the following subparagraph, during the Executive’s leave of absence, the Executive shall be completely “walled off” of all decisions, operations and information of the Debtors. The Executive shall be prohibited from communicating, directly or indirectly with anyone about the Debtors, the Chapter 11 Cases, or the Debtors’ restaurants or the franchise operations other than as may be required to formulate and submit a bid for all or part of the Debtors’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communications shall be subject to (a) the terms of a confidentiality agreement between the Executive and the Debtors and (b) the bidding procedures governing any sale of all or substantially all of the Debtors’ assets; </w:t>
      </w:r>
      <w:r>
        <w:rPr>
          <w:rFonts w:ascii="Times New Roman" w:cs="Times New Roman" w:eastAsia="Times New Roman" w:hAnsi="Times New Roman"/>
          <w:sz w:val="18"/>
          <w:szCs w:val="18"/>
          <w:i w:val="1"/>
          <w:iCs w:val="1"/>
          <w:color w:val="auto"/>
        </w:rPr>
        <w:t>provided, further, however,</w:t>
      </w:r>
      <w:r>
        <w:rPr>
          <w:rFonts w:ascii="Times New Roman" w:cs="Times New Roman" w:eastAsia="Times New Roman" w:hAnsi="Times New Roman"/>
          <w:sz w:val="18"/>
          <w:szCs w:val="18"/>
          <w:color w:val="auto"/>
        </w:rPr>
        <w:t xml:space="preserve"> that any communication regarding the Debtors or the Chapter 11 Cases (including the sale process) between the Executive and any party whom the Debtors have a material business relationship (including any officer, director, employee, customer, vendor, supplier, franchisee, debtholder, or stockholder of the Debtors) must (x) be approved in writing by the New Chapter 11 CEO or a CRO and (y) any such communication must be made through the New Chapter 11 CEO or a CRO. The Executive shall not participate in any decisions by any of the Debtors and shall not influence or attempt to influence any actions by any Debtor or the Special Committees; and</w:t>
      </w:r>
    </w:p>
    <w:p>
      <w:pPr>
        <w:spacing w:after="0" w:line="189"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the leave of absence, the Executive:</w:t>
      </w:r>
    </w:p>
    <w:p>
      <w:pPr>
        <w:spacing w:after="0" w:line="252" w:lineRule="exact"/>
        <w:rPr>
          <w:rFonts w:ascii="Times New Roman" w:cs="Times New Roman" w:eastAsia="Times New Roman" w:hAnsi="Times New Roman"/>
          <w:sz w:val="18"/>
          <w:szCs w:val="18"/>
          <w:color w:val="auto"/>
        </w:rPr>
      </w:pPr>
    </w:p>
    <w:p>
      <w:pPr>
        <w:jc w:val="both"/>
        <w:ind w:left="1624" w:hanging="328"/>
        <w:spacing w:after="0" w:line="266" w:lineRule="auto"/>
        <w:tabs>
          <w:tab w:leader="none" w:pos="1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make bids, or organize with others to make bids, for all or some of the Debtors’ assets. The Executive shall be given access to information in the same manner as third-party bidders and may participate on equal footing with third-party bidders;</w:t>
      </w:r>
    </w:p>
    <w:p>
      <w:pPr>
        <w:spacing w:after="0" w:line="175" w:lineRule="exact"/>
        <w:rPr>
          <w:rFonts w:ascii="Times New Roman" w:cs="Times New Roman" w:eastAsia="Times New Roman" w:hAnsi="Times New Roman"/>
          <w:sz w:val="18"/>
          <w:szCs w:val="18"/>
          <w:color w:val="auto"/>
        </w:rPr>
      </w:pPr>
    </w:p>
    <w:p>
      <w:pPr>
        <w:ind w:left="1624" w:right="20" w:hanging="328"/>
        <w:spacing w:after="0" w:line="282" w:lineRule="auto"/>
        <w:tabs>
          <w:tab w:leader="none" w:pos="1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utilize his best efforts to promptly honor any requests for assistance or information that is made to him in writing by the New Chapter 11 CEO or a CRO;</w:t>
      </w:r>
    </w:p>
    <w:p>
      <w:pPr>
        <w:spacing w:after="0" w:line="161" w:lineRule="exact"/>
        <w:rPr>
          <w:rFonts w:ascii="Times New Roman" w:cs="Times New Roman" w:eastAsia="Times New Roman" w:hAnsi="Times New Roman"/>
          <w:sz w:val="18"/>
          <w:szCs w:val="18"/>
          <w:color w:val="auto"/>
        </w:rPr>
      </w:pPr>
    </w:p>
    <w:p>
      <w:pPr>
        <w:jc w:val="both"/>
        <w:ind w:left="1624" w:hanging="328"/>
        <w:spacing w:after="0" w:line="253" w:lineRule="auto"/>
        <w:tabs>
          <w:tab w:leader="none" w:pos="1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come to any of the Debtors’ premises or communicate with any of the Debtors’ agents, contractors or employees, except as authorized in writing by the New Chapter 11 CEO;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Executive shall be permitted access to the Subleased Premises (as defined below) so long as Executive prepays to the Debtors the rent for such Subleased Premises;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such sublease shall not affect the Debtors’ rights to reject or modify the applicable lease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The Executive shall not be permitted to access (and key card access will be terminated to) any of the Debtors’ other premises, and no Debtor-personnel shall maintain offices on the same floor as the Subleased Premises, except as approved by the New Chapter 11 CEO or the CRO. As used herein, “</w:t>
      </w:r>
      <w:r>
        <w:rPr>
          <w:rFonts w:ascii="Times New Roman" w:cs="Times New Roman" w:eastAsia="Times New Roman" w:hAnsi="Times New Roman"/>
          <w:sz w:val="18"/>
          <w:szCs w:val="18"/>
          <w:b w:val="1"/>
          <w:bCs w:val="1"/>
          <w:i w:val="1"/>
          <w:iCs w:val="1"/>
          <w:color w:val="auto"/>
        </w:rPr>
        <w:t>Subleased Premises</w:t>
      </w:r>
      <w:r>
        <w:rPr>
          <w:rFonts w:ascii="Times New Roman" w:cs="Times New Roman" w:eastAsia="Times New Roman" w:hAnsi="Times New Roman"/>
          <w:sz w:val="18"/>
          <w:szCs w:val="18"/>
          <w:color w:val="auto"/>
        </w:rPr>
        <w:t>” means the space occupied by Executive and his family members on the penthouse floor of the Debtors’ Beverly Hills headquarters, which represents approximately 31.5% of such floor and for which the Executive shall prepay to the Debtors, $17,741.45, on or before the first day of each month (and a prorated portion for March 12-31, 2026 shall be deducted from the Initial Governance Agreement Payment). For the avoidance of doubt, no officer, director or employee of the Debtor shall occupy the Subleased Premises;</w:t>
      </w:r>
    </w:p>
    <w:p>
      <w:pPr>
        <w:spacing w:after="0" w:line="21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0" w:name="page11"/>
    <w:bookmarkEnd w:id="10"/>
    <w:p>
      <w:pPr>
        <w:ind w:left="2280" w:hanging="328"/>
        <w:spacing w:after="0" w:line="282" w:lineRule="auto"/>
        <w:tabs>
          <w:tab w:leader="none" w:pos="22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exercise, and shall cause Fog Cutter Holdings LLC not to exercise, any rights as a shareholder, except as may be requested by the Special Committees, which restriction will apply to any assignee or subsequent owner of his shares; and</w:t>
      </w:r>
    </w:p>
    <w:p>
      <w:pPr>
        <w:spacing w:after="0" w:line="161" w:lineRule="exact"/>
        <w:rPr>
          <w:rFonts w:ascii="Times New Roman" w:cs="Times New Roman" w:eastAsia="Times New Roman" w:hAnsi="Times New Roman"/>
          <w:sz w:val="18"/>
          <w:szCs w:val="18"/>
          <w:color w:val="auto"/>
        </w:rPr>
      </w:pPr>
    </w:p>
    <w:p>
      <w:pPr>
        <w:ind w:left="2280" w:hanging="328"/>
        <w:spacing w:after="0"/>
        <w:tabs>
          <w:tab w:leader="none" w:pos="2280"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take no action, direct or indirect, to oppose, block or otherwise influence any decision made by the Debtors;</w:t>
      </w:r>
    </w:p>
    <w:p>
      <w:pPr>
        <w:spacing w:after="0" w:line="221" w:lineRule="exact"/>
        <w:rPr>
          <w:rFonts w:ascii="Times New Roman" w:cs="Times New Roman" w:eastAsia="Times New Roman" w:hAnsi="Times New Roman"/>
          <w:sz w:val="18"/>
          <w:szCs w:val="18"/>
          <w:color w:val="auto"/>
        </w:rPr>
      </w:pPr>
    </w:p>
    <w:p>
      <w:pPr>
        <w:jc w:val="both"/>
        <w:ind w:firstLine="576"/>
        <w:spacing w:after="0" w:line="256" w:lineRule="auto"/>
        <w:tabs>
          <w:tab w:leader="none" w:pos="7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Departures. </w:t>
      </w:r>
      <w:r>
        <w:rPr>
          <w:rFonts w:ascii="Times New Roman" w:cs="Times New Roman" w:eastAsia="Times New Roman" w:hAnsi="Times New Roman"/>
          <w:sz w:val="18"/>
          <w:szCs w:val="18"/>
          <w:color w:val="auto"/>
        </w:rPr>
        <w:t>Concurrent with the Settlement Effective Date, the Debtors shall terminate the employment of the Executive’s family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who are employed by the Debtors (including, without limitation, Taylor Wiederhorn, Thayer Wiederhorn, and Mason Wiederhorn) (collectively, the “</w:t>
      </w:r>
      <w:r>
        <w:rPr>
          <w:rFonts w:ascii="Times New Roman" w:cs="Times New Roman" w:eastAsia="Times New Roman" w:hAnsi="Times New Roman"/>
          <w:sz w:val="18"/>
          <w:szCs w:val="18"/>
          <w:b w:val="1"/>
          <w:bCs w:val="1"/>
          <w:i w:val="1"/>
          <w:iCs w:val="1"/>
          <w:color w:val="auto"/>
        </w:rPr>
        <w:t>Executive Family Members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individuals shall be subject to the same terms and conditions set forth herein for the Executive in this Section 4(ii)-(iii), and their access to the Debtors’ premises shall be limited to the Subleased Premises;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Executive Family Members shall receive all accrued compensation through the date of such termination in full satisfaction of any and all liabilities of any Debtor to the Executive Family Members;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all rights and claims of the Debtors, the Committee, and any other party against the Executive Family Members, including with respect to such compensation, are fully preserved.</w:t>
      </w:r>
    </w:p>
    <w:p>
      <w:pPr>
        <w:spacing w:after="0" w:line="182" w:lineRule="exact"/>
        <w:rPr>
          <w:rFonts w:ascii="Times New Roman" w:cs="Times New Roman" w:eastAsia="Times New Roman" w:hAnsi="Times New Roman"/>
          <w:sz w:val="18"/>
          <w:szCs w:val="18"/>
          <w:color w:val="auto"/>
        </w:rPr>
      </w:pPr>
    </w:p>
    <w:p>
      <w:pPr>
        <w:jc w:val="both"/>
        <w:ind w:firstLine="656"/>
        <w:spacing w:after="0" w:line="252" w:lineRule="auto"/>
        <w:tabs>
          <w:tab w:leader="none" w:pos="84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Emails; Access to Documents</w:t>
      </w:r>
      <w:r>
        <w:rPr>
          <w:rFonts w:ascii="Times New Roman" w:cs="Times New Roman" w:eastAsia="Times New Roman" w:hAnsi="Times New Roman"/>
          <w:sz w:val="18"/>
          <w:szCs w:val="18"/>
          <w:color w:val="auto"/>
        </w:rPr>
        <w:t>. The Debtors shall, as soon as reasonably practicable following the Settlement Effective Date, provide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and the Executive Family Members with an electronic copy of all their emails that reside, as of such date, within any computer systems owned or controlled by the Debtors. Until an electronic copy of such emails is provided, the Debtors shall provide the Executive and the Executive Family Members with read-only access to the Executive’s and the Executive Family Members’ existing (as of the Settlement Effective Date) emails. Within five (5) business days of the Settlement Effective Date, the Executive and the Executive Family Members shall (x) surrender any Debtor-owned computers and electronic communication device and (y) not have any further access to any other computers, or other electronic systems owned or controlled by the Debtors. Further as of the Settlement Effective Date, the Debtors shall revoke all sending and receiving privileges associated with the Executive’s and Executive Family Members’ Debtor/Company email accounts as of such date and will set up a “bounceback” message requesting that: (a) any email addressed to the Executive and Executive Family Members on account of non-Debtor/Company related matters be sent to the Executive and Executive Family Members’ new email addresses, or (b) any emails on account of Debtor/Company related matters be sent to the New Chapter 11 CEO’s and the CROs’ email addresses. Upon the Executive’s or an Executive Family Member’s request, the Debtors shall provide the Executive or such Executive Family Member with access to documents as are reasonably necessary in connection with Executive’s or such Executive Family Member’s defense of any lawsuits, claims or proceedings brought against Executive or such Executive Family Member to the extent that such documents were created prior to the Settlement Effective Date. For the avoidance of doubt, the Debtors will retain possession, custody, and control over any Debtor-owned computers and all electronic data, including emails stored on each such computer, shall clone such computers as of the Settlement Effective Date, and shall not alter or delete any electronic data on such computers or any clones thereof. Nothing in this section 6, nor any documents shared pursuant hereto, shall be deemed to constitute a waiver of any applicable privileges or protections held by either the Executive or the Debtors.</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both"/>
        <w:ind w:firstLine="656"/>
        <w:spacing w:after="0" w:line="257"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Consequences of Breach by the Executive</w:t>
      </w:r>
      <w:r>
        <w:rPr>
          <w:rFonts w:ascii="Times New Roman" w:cs="Times New Roman" w:eastAsia="Times New Roman" w:hAnsi="Times New Roman"/>
          <w:sz w:val="18"/>
          <w:szCs w:val="18"/>
          <w:color w:val="auto"/>
        </w:rPr>
        <w:t>. If the Special Committees determine that the Executive is in breach of his obligations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Stipulation and Agreed Order, the Debtors shall suspend all further payments to the Executive. The Executive may challenge the Special Committees’ determination that he is in breach of an obligation by seeking review by the Court. No further payments shall be due to the Executive unless and until the Court determines that he is not in breach. The Special Committees shall provide prompt notice of any known breach of this Stipulation and Agreed Order to the other Parties. For the avoidance of doubt, the foregoing shall not limit any rights or remedies of any Party relating to a breach of this Stipulation and Agreed Order (including to seek recovery of any previously paid Governance Agreement Payments).</w:t>
      </w:r>
    </w:p>
    <w:p>
      <w:pPr>
        <w:spacing w:after="0" w:line="182" w:lineRule="exact"/>
        <w:rPr>
          <w:rFonts w:ascii="Times New Roman" w:cs="Times New Roman" w:eastAsia="Times New Roman" w:hAnsi="Times New Roman"/>
          <w:sz w:val="18"/>
          <w:szCs w:val="18"/>
          <w:color w:val="auto"/>
        </w:rPr>
      </w:pPr>
    </w:p>
    <w:p>
      <w:pPr>
        <w:ind w:right="20" w:firstLine="656"/>
        <w:spacing w:after="0" w:line="286"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Withdrawal of Trustee Motion and Suspension Motion. </w:t>
      </w:r>
      <w:r>
        <w:rPr>
          <w:rFonts w:ascii="Times New Roman" w:cs="Times New Roman" w:eastAsia="Times New Roman" w:hAnsi="Times New Roman"/>
          <w:sz w:val="18"/>
          <w:szCs w:val="18"/>
          <w:color w:val="auto"/>
        </w:rPr>
        <w:t>Upon the occurrence of the Settlement Effective Date, the WBS Ad Hoc Group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withdraw the Trustee Motion and the Suspension Motion by filing notices of withdrawal with the Court.</w:t>
      </w:r>
    </w:p>
    <w:p>
      <w:pPr>
        <w:spacing w:after="0" w:line="154" w:lineRule="exact"/>
        <w:rPr>
          <w:rFonts w:ascii="Times New Roman" w:cs="Times New Roman" w:eastAsia="Times New Roman" w:hAnsi="Times New Roman"/>
          <w:sz w:val="18"/>
          <w:szCs w:val="18"/>
          <w:color w:val="auto"/>
        </w:rPr>
      </w:pPr>
    </w:p>
    <w:p>
      <w:pPr>
        <w:jc w:val="both"/>
        <w:ind w:firstLine="656"/>
        <w:spacing w:after="0" w:line="257" w:lineRule="auto"/>
        <w:tabs>
          <w:tab w:leader="none" w:pos="82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 Subpoena; Withdrawal of Retention Application</w:t>
      </w:r>
      <w:r>
        <w:rPr>
          <w:rFonts w:ascii="Times New Roman" w:cs="Times New Roman" w:eastAsia="Times New Roman" w:hAnsi="Times New Roman"/>
          <w:sz w:val="18"/>
          <w:szCs w:val="18"/>
          <w:color w:val="auto"/>
        </w:rPr>
        <w:t>. Neither Moelis, Moelis’ affiliates, nor any of Moelis’ or Moelis’ affiliates’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or former partners, employees, directors, officers, managers, members, agents, or representatives, each in their capacity as such (each, a “</w:t>
      </w:r>
      <w:r>
        <w:rPr>
          <w:rFonts w:ascii="Times New Roman" w:cs="Times New Roman" w:eastAsia="Times New Roman" w:hAnsi="Times New Roman"/>
          <w:sz w:val="18"/>
          <w:szCs w:val="18"/>
          <w:b w:val="1"/>
          <w:bCs w:val="1"/>
          <w:i w:val="1"/>
          <w:iCs w:val="1"/>
          <w:color w:val="auto"/>
        </w:rPr>
        <w:t>Moelis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i w:val="1"/>
          <w:iCs w:val="1"/>
          <w:color w:val="auto"/>
        </w:rPr>
        <w:t>Moelis Parties</w:t>
      </w:r>
      <w:r>
        <w:rPr>
          <w:rFonts w:ascii="Times New Roman" w:cs="Times New Roman" w:eastAsia="Times New Roman" w:hAnsi="Times New Roman"/>
          <w:sz w:val="18"/>
          <w:szCs w:val="18"/>
          <w:color w:val="auto"/>
        </w:rPr>
        <w:t>”), shall be subpoenaed or otherwise be required to testify by the Debtors, the WBS Ad Hoc Group, 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in respect of any matters related to the Chapter 11 Cases. Immediately upon the Settlement Effective Date, Moelis shall withdraw its retention application in the Chapter 11 Cases, and no amounts shall be owed or payable to Moelis and the engagement letter dated March 2, 2026 (the “</w:t>
      </w:r>
      <w:r>
        <w:rPr>
          <w:rFonts w:ascii="Times New Roman" w:cs="Times New Roman" w:eastAsia="Times New Roman" w:hAnsi="Times New Roman"/>
          <w:sz w:val="18"/>
          <w:szCs w:val="18"/>
          <w:b w:val="1"/>
          <w:bCs w:val="1"/>
          <w:i w:val="1"/>
          <w:iCs w:val="1"/>
          <w:color w:val="auto"/>
        </w:rPr>
        <w:t>Moelis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Engagement Letter</w:t>
      </w:r>
      <w:r>
        <w:rPr>
          <w:rFonts w:ascii="Times New Roman" w:cs="Times New Roman" w:eastAsia="Times New Roman" w:hAnsi="Times New Roman"/>
          <w:sz w:val="18"/>
          <w:szCs w:val="18"/>
          <w:color w:val="auto"/>
        </w:rPr>
        <w:t>”) shall be terminated.</w:t>
      </w:r>
    </w:p>
    <w:p>
      <w:pPr>
        <w:spacing w:after="0" w:line="182" w:lineRule="exact"/>
        <w:rPr>
          <w:rFonts w:ascii="Times New Roman" w:cs="Times New Roman" w:eastAsia="Times New Roman" w:hAnsi="Times New Roman"/>
          <w:sz w:val="18"/>
          <w:szCs w:val="18"/>
          <w:color w:val="auto"/>
        </w:rPr>
      </w:pPr>
    </w:p>
    <w:p>
      <w:pPr>
        <w:jc w:val="both"/>
        <w:ind w:firstLine="656"/>
        <w:spacing w:after="0" w:line="255" w:lineRule="auto"/>
        <w:tabs>
          <w:tab w:leader="none" w:pos="9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Indemnity. </w:t>
      </w:r>
      <w:r>
        <w:rPr>
          <w:rFonts w:ascii="Times New Roman" w:cs="Times New Roman" w:eastAsia="Times New Roman" w:hAnsi="Times New Roman"/>
          <w:sz w:val="18"/>
          <w:szCs w:val="18"/>
          <w:color w:val="auto"/>
        </w:rPr>
        <w:t>The Debtors shall indemnify and hold harmless Moelis and the Moelis Parties from and against any and all losses,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damages, expenses or liabilities arising from or relating to (a) the Chapter 11 Cases, (b) the settlement memorialized in this Stipulation and Agreed Order, or (c) the services provided by Moelis from the Petition Date until the Settlement Effective Date in connection with the Moelis Engagement Letter (collectively, “</w:t>
      </w:r>
      <w:r>
        <w:rPr>
          <w:rFonts w:ascii="Times New Roman" w:cs="Times New Roman" w:eastAsia="Times New Roman" w:hAnsi="Times New Roman"/>
          <w:sz w:val="18"/>
          <w:szCs w:val="18"/>
          <w:b w:val="1"/>
          <w:bCs w:val="1"/>
          <w:i w:val="1"/>
          <w:iCs w:val="1"/>
          <w:color w:val="auto"/>
        </w:rPr>
        <w:t>Losses</w:t>
      </w:r>
      <w:r>
        <w:rPr>
          <w:rFonts w:ascii="Times New Roman" w:cs="Times New Roman" w:eastAsia="Times New Roman" w:hAnsi="Times New Roman"/>
          <w:sz w:val="18"/>
          <w:szCs w:val="18"/>
          <w:color w:val="auto"/>
        </w:rPr>
        <w:t>”), except to the extent such Losses are finally judicially determined to have resulted from the Moelis Party’s bad faith, willful misconduct, or gross negligence. The Debtors acknowledge and agree that this indemnity shall be given to Moelis be in full satisfaction and discharge of any and all pre- and post-petition claims, liabilities, and obligations of the Debtors to the Moelis Parties for any outstanding professional fees, expenses, or other amounts due in connection with Moelis’s engagement or services, and subject to the indemnity provided herein, no further amounts shall be owed or payable to Moelis.</w:t>
      </w:r>
    </w:p>
    <w:p>
      <w:pPr>
        <w:spacing w:after="0" w:line="184" w:lineRule="exact"/>
        <w:rPr>
          <w:rFonts w:ascii="Times New Roman" w:cs="Times New Roman" w:eastAsia="Times New Roman" w:hAnsi="Times New Roman"/>
          <w:sz w:val="18"/>
          <w:szCs w:val="18"/>
          <w:color w:val="auto"/>
        </w:rPr>
      </w:pPr>
    </w:p>
    <w:p>
      <w:pPr>
        <w:jc w:val="both"/>
        <w:ind w:firstLine="656"/>
        <w:spacing w:after="0" w:line="253" w:lineRule="auto"/>
        <w:tabs>
          <w:tab w:leader="none" w:pos="9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Release of Moelis. </w:t>
      </w:r>
      <w:r>
        <w:rPr>
          <w:rFonts w:ascii="Times New Roman" w:cs="Times New Roman" w:eastAsia="Times New Roman" w:hAnsi="Times New Roman"/>
          <w:sz w:val="18"/>
          <w:szCs w:val="18"/>
          <w:color w:val="auto"/>
        </w:rPr>
        <w:t>Any and all claims or causes of action against Moelis arising in whole or in part from these Chapter 11 Cases or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provision of services pursuant to Moelis’ services are claims or causes of action of the Debtors and their estates. Upon the occurrence of the Settlement Effective Date and the withdrawal of Moelis’ retention application, Moelis, and the Moelis Parties will be deemed irrevocably and unconditionally, fully, finally, and forever waived, released, acquitted and discharged, by and on behalf of the Debtors, the estates, and the Committee from any and all claims, manner of actions, causes of action, suits, costs, debts, liabilities, obligations, dues, sums of money, accounts, reckonings, bonds, bills, specialties,covenants, contracts, controversies, agreements, promises, variances, trespasses, damages, judgments, executions and demands whatsoever, of whatever kind or nature, whether known or unknown, suspected or unsuspected, in law or equity, which the Debtors or the Committee have, have had, may have or may claim to have against the Moelis Parties arising from or relating to (a) the Chapter 11 Cases, (b) the settlement memorialized in this Stipulation and Agreed Order, or (c) the services provided by Moelis in connection with the Moelis Engagement Letter, in each case through the Settlement Effective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nothing herein shall release any claims arising from or related to bad faith, willful misconduct, or gross negligence by any Moelis Party. For the avoidance of doubt, the foregoing release shall not limit nor be deemed to limit the rights of any Party to enforce this Stipulation and Agreed Order in accordance with its terms.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both"/>
        <w:ind w:firstLine="656"/>
        <w:spacing w:after="0" w:line="268" w:lineRule="auto"/>
        <w:tabs>
          <w:tab w:leader="none" w:pos="9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Third Parties. </w:t>
      </w:r>
      <w:r>
        <w:rPr>
          <w:rFonts w:ascii="Times New Roman" w:cs="Times New Roman" w:eastAsia="Times New Roman" w:hAnsi="Times New Roman"/>
          <w:sz w:val="18"/>
          <w:szCs w:val="18"/>
          <w:color w:val="auto"/>
        </w:rPr>
        <w:t>No provision of this Stipulation and Agreed Order is intended to confer any rights, benefits, remedies, obligations, or liabilities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hereunder upon any person other than the Parties hereto. Further, no provision of this Stipulation and Agreed Order is intended to impair any rights, claims, liens, or interests of any person other than Parties hereto and their respective successors and assigns.</w:t>
      </w:r>
    </w:p>
    <w:p>
      <w:pPr>
        <w:spacing w:after="0" w:line="17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Admissions. </w:t>
      </w:r>
      <w:r>
        <w:rPr>
          <w:rFonts w:ascii="Times New Roman" w:cs="Times New Roman" w:eastAsia="Times New Roman" w:hAnsi="Times New Roman"/>
          <w:sz w:val="18"/>
          <w:szCs w:val="18"/>
          <w:color w:val="auto"/>
        </w:rPr>
        <w:t>This Stipulation and Agreed Order is not and shall not in any way be construed as an admission by the Parties of any</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allegations.</w:t>
      </w:r>
    </w:p>
    <w:p>
      <w:pPr>
        <w:spacing w:after="0" w:line="202" w:lineRule="exact"/>
        <w:rPr>
          <w:rFonts w:ascii="Times New Roman" w:cs="Times New Roman" w:eastAsia="Times New Roman" w:hAnsi="Times New Roman"/>
          <w:sz w:val="18"/>
          <w:szCs w:val="18"/>
          <w:color w:val="auto"/>
        </w:rPr>
      </w:pPr>
    </w:p>
    <w:p>
      <w:pPr>
        <w:jc w:val="both"/>
        <w:ind w:firstLine="656"/>
        <w:spacing w:after="0" w:line="268" w:lineRule="auto"/>
        <w:tabs>
          <w:tab w:leader="none" w:pos="9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Reservation of Rights. </w:t>
      </w:r>
      <w:r>
        <w:rPr>
          <w:rFonts w:ascii="Times New Roman" w:cs="Times New Roman" w:eastAsia="Times New Roman" w:hAnsi="Times New Roman"/>
          <w:sz w:val="18"/>
          <w:szCs w:val="18"/>
          <w:color w:val="auto"/>
        </w:rPr>
        <w:t>Except for the indemnity and release of Moelis, in sections 10 and 11, respectively, this Stipulation and Agreed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include any releases or indemnities in favor of any Party or Executive Family Member, nor does it diminish or enhance any defenses that any Party or Executive Family Member may have.</w:t>
      </w:r>
    </w:p>
    <w:p>
      <w:pPr>
        <w:spacing w:after="0" w:line="170" w:lineRule="exact"/>
        <w:rPr>
          <w:rFonts w:ascii="Times New Roman" w:cs="Times New Roman" w:eastAsia="Times New Roman" w:hAnsi="Times New Roman"/>
          <w:sz w:val="18"/>
          <w:szCs w:val="18"/>
          <w:color w:val="auto"/>
        </w:rPr>
      </w:pPr>
    </w:p>
    <w:p>
      <w:pPr>
        <w:jc w:val="both"/>
        <w:ind w:firstLine="656"/>
        <w:spacing w:after="0" w:line="262" w:lineRule="auto"/>
        <w:tabs>
          <w:tab w:leader="none" w:pos="9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Except as expressly set forth herein or in the Interim DIP Order, the Parties shall bear their own costs, expenses, and attorneys’ fees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incurred to date in connection with this Stipulation and Agreed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estate professionals and Committee members may seek compensation or reimbursement of expenses pursuant to the </w:t>
      </w:r>
      <w:r>
        <w:rPr>
          <w:rFonts w:ascii="Times New Roman" w:cs="Times New Roman" w:eastAsia="Times New Roman" w:hAnsi="Times New Roman"/>
          <w:sz w:val="18"/>
          <w:szCs w:val="18"/>
          <w:i w:val="1"/>
          <w:iCs w:val="1"/>
          <w:color w:val="auto"/>
        </w:rPr>
        <w:t>Order Establishing Procedures for Interim Compensation and Reimbursement of Expenses of Professionals</w:t>
      </w:r>
      <w:r>
        <w:rPr>
          <w:rFonts w:ascii="Times New Roman" w:cs="Times New Roman" w:eastAsia="Times New Roman" w:hAnsi="Times New Roman"/>
          <w:sz w:val="18"/>
          <w:szCs w:val="18"/>
          <w:color w:val="auto"/>
        </w:rPr>
        <w:t xml:space="preserve"> [Docket 397].</w:t>
      </w:r>
    </w:p>
    <w:p>
      <w:pPr>
        <w:spacing w:after="0" w:line="176" w:lineRule="exact"/>
        <w:rPr>
          <w:rFonts w:ascii="Times New Roman" w:cs="Times New Roman" w:eastAsia="Times New Roman" w:hAnsi="Times New Roman"/>
          <w:sz w:val="18"/>
          <w:szCs w:val="18"/>
          <w:color w:val="auto"/>
        </w:rPr>
      </w:pPr>
    </w:p>
    <w:p>
      <w:pPr>
        <w:jc w:val="both"/>
        <w:ind w:right="20" w:firstLine="656"/>
        <w:spacing w:after="0" w:line="268" w:lineRule="auto"/>
        <w:tabs>
          <w:tab w:leader="none" w:pos="9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The Parties agree that if any provision of this Stipulation and Agreed Order is determined by a court of competent jurisdiction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illegal, invalid, or unenforceable, that provision shall not be a part of this Stipulation and Agreed Order. The legality, validity, and enforceability of the remaining provisions shall not be affected by a provision of this Stipulation and Agreed Order that is illegal, invalid, or unenforceable.</w:t>
      </w:r>
    </w:p>
    <w:p>
      <w:pPr>
        <w:spacing w:after="0" w:line="170"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256" w:lineRule="exact"/>
        <w:rPr>
          <w:sz w:val="20"/>
          <w:szCs w:val="20"/>
          <w:color w:val="auto"/>
        </w:rPr>
      </w:pPr>
    </w:p>
    <w:p>
      <w:pPr>
        <w:jc w:val="both"/>
        <w:ind w:left="1300" w:hanging="644"/>
        <w:spacing w:after="0" w:line="261"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this Stipulation and Agreed Order, nor any statement made or action taken in connection with the negotiation of this Stipulation and Agreed Order, shall be offered or received in evidence or in any way referred to in any legal action or administrative proceeding among or between the Parties hereto, other than as may be necessary (a) to obtain approval of and to enforce this Stipulation and Agreed Order and the DIP Facility or (b) to seek damages or injunctive relief in connection therewith.</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shall execute and deliver any and all additional papers, documents, and other assurances, and shall do any and all acts and things reasonably necessary or appropriate in conjunction with the performance of each of the Parties’ respective obligations hereunder.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ind w:left="1300" w:right="2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Stipulation and Agreed Order may be signed in counterpart originals and delivered by facsimile or email, which, when fully executed, shall constitute a single original.</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retain exclusive jurisdiction (and the Parties expressly consent to such jurisdiction) with respect to any disputes arising from or related to, or other actions to interpret, administer, or enforce the terms and provisions of, this Stipulation and Agreed Order.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entity who executes this Stipulation and Agreed Order on behalf of another person or entity represents and warrants that he, she, or it is duly authorized to execute this Agreement on behalf of such person or entity, has the requisite authority to bind such person or entity, and such person or entity has full knowledge of and has consented to this Stipulation and Agreed Order. The representations and warranties set forth in this section shall survive execution of this Agreement.</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5"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executing the Stipulation and Agreed Order, each of the Parties represents and warrants, for itself, that (a) it does so with full knowledge of its available rights, (b) it is not relying and has not relied upon any representations made by any person with regard to the Stipulation and Agreed Order, other than any written representations and agreements contained herein, (c) it has had available to it such information as it or its counsel considered necessary to making an informed judgment concerning the Stipulation and Agreed Order, and</w:t>
      </w:r>
    </w:p>
    <w:p>
      <w:pPr>
        <w:spacing w:after="0" w:line="2" w:lineRule="exact"/>
        <w:rPr>
          <w:rFonts w:ascii="Times New Roman" w:cs="Times New Roman" w:eastAsia="Times New Roman" w:hAnsi="Times New Roman"/>
          <w:sz w:val="18"/>
          <w:szCs w:val="18"/>
          <w:color w:val="auto"/>
        </w:rPr>
      </w:pPr>
    </w:p>
    <w:p>
      <w:pPr>
        <w:ind w:left="1300" w:firstLine="4"/>
        <w:spacing w:after="0" w:line="260" w:lineRule="auto"/>
        <w:tabs>
          <w:tab w:leader="none" w:pos="155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conducted such investigation as it or its counsel deemed appropriate regarding the settlement and its rights and asserted rights in connection with the matters that are the subject of the Stipulation and Agreed Order.</w:t>
      </w:r>
    </w:p>
    <w:p>
      <w:pPr>
        <w:spacing w:after="0" w:line="18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that this Stipulation and Agreed Order constitutes the entire agreement between the Parties with respect to the subject matter hereof, and all prior agreements, negotiations, and understandings with respect to the subject matter hereof, including but not limited to the </w:t>
      </w:r>
      <w:r>
        <w:rPr>
          <w:rFonts w:ascii="Times New Roman" w:cs="Times New Roman" w:eastAsia="Times New Roman" w:hAnsi="Times New Roman"/>
          <w:sz w:val="18"/>
          <w:szCs w:val="18"/>
          <w:i w:val="1"/>
          <w:iCs w:val="1"/>
          <w:color w:val="auto"/>
        </w:rPr>
        <w:t>Stipulation and Agreed Order Regarding Mediated Settlement</w:t>
      </w:r>
      <w:r>
        <w:rPr>
          <w:rFonts w:ascii="Times New Roman" w:cs="Times New Roman" w:eastAsia="Times New Roman" w:hAnsi="Times New Roman"/>
          <w:sz w:val="18"/>
          <w:szCs w:val="18"/>
          <w:color w:val="auto"/>
        </w:rPr>
        <w:t xml:space="preserve"> [Docket No. 447, Ex. 1], dated as of March 18, 2026 are canceled and superseded by this Stipulation and Agreed Order.</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Stipulation and Agreed Order shall not be modified, altered, amended, or vacated without the written consent of all parties hereto or order of the Court.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Stipulation and Agreed Order shall inure to the benefit of and be binding upon the successors and assigns of the Parties hereto.</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of all sections of this Stipulation and Agreed Order are inserted solely for the convenience of reference and are not a part of and are not intended to govern, limit, or aid in the construction or interpretation of any term or provision hereof.</w:t>
      </w:r>
    </w:p>
    <w:p>
      <w:pPr>
        <w:spacing w:after="0" w:line="158" w:lineRule="exact"/>
        <w:rPr>
          <w:sz w:val="20"/>
          <w:szCs w:val="20"/>
          <w:color w:val="auto"/>
        </w:rPr>
      </w:pPr>
    </w:p>
    <w:p>
      <w:pPr>
        <w:jc w:val="both"/>
        <w:ind w:firstLine="656"/>
        <w:spacing w:after="0" w:line="256" w:lineRule="auto"/>
        <w:tabs>
          <w:tab w:leader="none" w:pos="9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Court Approval. </w:t>
      </w:r>
      <w:r>
        <w:rPr>
          <w:rFonts w:ascii="Times New Roman" w:cs="Times New Roman" w:eastAsia="Times New Roman" w:hAnsi="Times New Roman"/>
          <w:sz w:val="18"/>
          <w:szCs w:val="18"/>
          <w:color w:val="auto"/>
        </w:rPr>
        <w:t>Following the Parties’ execution of this Stipulation and Agreed Order, the Debtors shall file a motion with the Court seeking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entry of an order approving this Stipulation and Agreed Order on an emergency basis pursuant to Federal Rule of Bankruptcy Procedure 9019 and the non-Debtor Parties shall use their reasonable efforts to support and take all actions reasonably requested by the Debtors to obtain approval of the Stipulation and Agreed Order. In the event the Court denies approval of this Stipulation and Agreed Order or if the Settlement Effective Date has not occurred by March 31, 2026 (the “</w:t>
      </w:r>
      <w:r>
        <w:rPr>
          <w:rFonts w:ascii="Times New Roman" w:cs="Times New Roman" w:eastAsia="Times New Roman" w:hAnsi="Times New Roman"/>
          <w:sz w:val="18"/>
          <w:szCs w:val="18"/>
          <w:b w:val="1"/>
          <w:bCs w:val="1"/>
          <w:i w:val="1"/>
          <w:iCs w:val="1"/>
          <w:color w:val="auto"/>
        </w:rPr>
        <w:t>Outside Date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Stipulation and Agreed Order shall be null and void and of no force and effect, and the Parties shall be returned to the same positions they were in prior to execution of this Stipulation and Agreed Order, as if this Stipulation and Agreed Order had never been executed;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Outside Date may be extended with the consent of all Parties (email being sufficient).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SO ORDERED</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March 19, 2026</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Alfredo R. Pérez</w:t>
      </w:r>
    </w:p>
    <w:p>
      <w:pPr>
        <w:spacing w:after="0" w:line="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Alfredo R. Pérez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United States Bankruptcy Judge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ACCEPTED AND AGREED TO BY:</w:t>
            </w:r>
          </w:p>
        </w:tc>
        <w:tc>
          <w:tcPr>
            <w:tcW w:w="562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DEBTORS</w:t>
            </w:r>
          </w:p>
        </w:tc>
        <w:tc>
          <w:tcPr>
            <w:tcW w:w="56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John C. DiDonato</w:t>
            </w:r>
          </w:p>
        </w:tc>
        <w:tc>
          <w:tcPr>
            <w:tcW w:w="56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March 19, 2026</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C. DiDonato</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Restructuring Officer</w:t>
            </w:r>
          </w:p>
        </w:tc>
        <w:tc>
          <w:tcPr>
            <w:tcW w:w="562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ANDREW WIEDERHORN</w:t>
            </w:r>
          </w:p>
        </w:tc>
        <w:tc>
          <w:tcPr>
            <w:tcW w:w="56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Wiederhorn</w:t>
            </w:r>
          </w:p>
        </w:tc>
        <w:tc>
          <w:tcPr>
            <w:tcW w:w="56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March 19, 2026</w:t>
            </w:r>
          </w:p>
        </w:tc>
      </w:tr>
      <w:tr>
        <w:trPr>
          <w:trHeight w:val="42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WHITE &amp; CASE LLP</w:t>
            </w:r>
            <w:r>
              <w:rPr>
                <w:rFonts w:ascii="Times New Roman" w:cs="Times New Roman" w:eastAsia="Times New Roman" w:hAnsi="Times New Roman"/>
                <w:sz w:val="18"/>
                <w:szCs w:val="18"/>
                <w:color w:val="auto"/>
              </w:rPr>
              <w:t>, on behalf of the WBS Ad Hoc Group</w:t>
            </w:r>
          </w:p>
        </w:tc>
        <w:tc>
          <w:tcPr>
            <w:tcW w:w="5620" w:type="dxa"/>
            <w:vAlign w:val="bottom"/>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Brian Pfeiffer</w:t>
            </w:r>
          </w:p>
        </w:tc>
        <w:tc>
          <w:tcPr>
            <w:tcW w:w="56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March 19, 2026</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Brian Pfeiffer</w:t>
            </w:r>
          </w:p>
        </w:tc>
        <w:tc>
          <w:tcPr>
            <w:tcW w:w="562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c>
          <w:tcPr>
            <w:tcW w:w="562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PAUL HASTINGS LLP</w:t>
            </w:r>
            <w:r>
              <w:rPr>
                <w:rFonts w:ascii="Times New Roman" w:cs="Times New Roman" w:eastAsia="Times New Roman" w:hAnsi="Times New Roman"/>
                <w:sz w:val="18"/>
                <w:szCs w:val="18"/>
                <w:color w:val="auto"/>
              </w:rPr>
              <w:t>, on behalf of the Committee</w:t>
            </w:r>
          </w:p>
        </w:tc>
        <w:tc>
          <w:tcPr>
            <w:tcW w:w="56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Kris Hansen</w:t>
            </w:r>
          </w:p>
        </w:tc>
        <w:tc>
          <w:tcPr>
            <w:tcW w:w="56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March 19, 2026</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Kris Hansen</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c>
          <w:tcPr>
            <w:tcW w:w="5620" w:type="dxa"/>
            <w:vAlign w:val="bottom"/>
          </w:tcPr>
          <w:p>
            <w:pPr>
              <w:spacing w:after="0"/>
              <w:rPr>
                <w:sz w:val="20"/>
                <w:szCs w:val="20"/>
                <w:color w:val="auto"/>
              </w:rPr>
            </w:pPr>
          </w:p>
        </w:tc>
      </w:tr>
      <w:tr>
        <w:trPr>
          <w:trHeight w:val="432"/>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MOELIS &amp; COMPANY LLC</w:t>
            </w:r>
          </w:p>
        </w:tc>
        <w:tc>
          <w:tcPr>
            <w:tcW w:w="56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Swift</w:t>
            </w:r>
          </w:p>
        </w:tc>
        <w:tc>
          <w:tcPr>
            <w:tcW w:w="56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March 19, 2026</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Swift</w:t>
            </w:r>
          </w:p>
        </w:tc>
        <w:tc>
          <w:tcPr>
            <w:tcW w:w="562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c>
          <w:tcPr>
            <w:tcW w:w="5620" w:type="dxa"/>
            <w:vAlign w:val="bottom"/>
          </w:tcPr>
          <w:p>
            <w:pPr>
              <w:spacing w:after="0"/>
              <w:rPr>
                <w:sz w:val="20"/>
                <w:szCs w:val="20"/>
                <w:color w:val="auto"/>
              </w:rPr>
            </w:pPr>
          </w:p>
        </w:tc>
      </w:tr>
      <w:tr>
        <w:trPr>
          <w:trHeight w:val="432"/>
        </w:trPr>
        <w:tc>
          <w:tcPr>
            <w:tcW w:w="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FAT Brands Inc. Indemnification Agreement</w:t>
      </w:r>
      <w:r>
        <w:rPr>
          <w:rFonts w:ascii="Times New Roman" w:cs="Times New Roman" w:eastAsia="Times New Roman" w:hAnsi="Times New Roman"/>
          <w:sz w:val="18"/>
          <w:szCs w:val="18"/>
          <w:color w:val="auto"/>
        </w:rPr>
        <w:t xml:space="preserve"> dated October 19, 2017, the </w:t>
      </w:r>
      <w:r>
        <w:rPr>
          <w:rFonts w:ascii="Times New Roman" w:cs="Times New Roman" w:eastAsia="Times New Roman" w:hAnsi="Times New Roman"/>
          <w:sz w:val="18"/>
          <w:szCs w:val="18"/>
          <w:i w:val="1"/>
          <w:iCs w:val="1"/>
          <w:color w:val="auto"/>
        </w:rPr>
        <w:t>Separation, Cooperation, and Release Agreement</w:t>
      </w:r>
      <w:r>
        <w:rPr>
          <w:rFonts w:ascii="Times New Roman" w:cs="Times New Roman" w:eastAsia="Times New Roman" w:hAnsi="Times New Roman"/>
          <w:sz w:val="18"/>
          <w:szCs w:val="18"/>
          <w:color w:val="auto"/>
        </w:rPr>
        <w:t xml:space="preserve"> dated July 19, 2023, and the organizational documents (e.g. bylaws and articles of incorporation) of the following Debtor entities of which the Executive serves or has served as a director and/or officer on or prior to the Settlement Effective Date: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FAT Brands Inc.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HDOS Showcase,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Twin Hospitality Group Inc.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Hurricane AMT,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FAT Brands Fazoli’s Native I,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Johnny Rockets Holding Company</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FAT Brands GFG Royalty I,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Johnny Rockets Licensing Canada,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FAT Brands Royalty I,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Johnny Rockets Licensing,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Twin Hospitality I,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LS GFG Holdings Inc.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AFB Dissolution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MaggieMoo’ s Brand and Marketing Fund,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Bonanza Restaurant Company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MaggieMoo’s Franchise Brands,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Buffalo’s Franchise Concepts, Inc.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MaggieMoo’s Franchising,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EB Creative Fund,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Marble Slab Brand and Marketing Fund,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EB Franchises,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Marble Slab Franchise Brands,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FAT Brands Management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Marble Slab Franchising,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FAT Virtual Restaurants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MSC Corporate Holdings,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Fatburger North America, Inc.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Native Grill and Wings Franchising,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Fazoli ‘s Group, Inc.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PM Brand and Marketing Fund,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Fazoli ‘s Restaurant Group, Inc.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PM Corporate Holdings,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Fazoli’s Franchising Systems,LLC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PM Franchise Brands,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Fazoli’s Group, Inc.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PM Franchising,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Fazoli’s Holdings,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Ponderosa Franchising Company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Fazoli’s Promotions, Inc.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Ponderosa International Development, Inc.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Fazoli’s Restaurant Group, Inc.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PT Brand and Marketing Fund,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Fazoli’s System Management,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PT Franchise Brands,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Fog Cap Acceptance Inc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PT Franchising,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Fog Cap Development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Puerto Rico Ponderosa, Inc.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Fog Cutter Acquisition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Round Table Advertising Fund</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GAC Brand and Marketing Fund,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Round Table Advertising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GAC Corporate Holdings,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Round Table Development Company</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GAC Franchise Brands,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Round Table Franchise Corporation</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GAC Franchising,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Round Table Pizza Nevada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GAC Manufacturing,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Round Table Pizza, Inc.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GAC Supply, LLC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The Johnny Rockets Group, Inc.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GFG Holding Inc.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Yalla Acquisition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GFG Intermediate Holding Inc.</w:t>
            </w:r>
          </w:p>
        </w:tc>
        <w:tc>
          <w:tcPr>
            <w:tcW w:w="6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Yalla Mediterranean Franchising Company, LLC</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GFG Management LLC</w:t>
            </w:r>
          </w:p>
        </w:tc>
        <w:tc>
          <w:tcPr>
            <w:tcW w:w="690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Global Franchise Group LLC</w:t>
            </w:r>
          </w:p>
        </w:tc>
        <w:tc>
          <w:tcPr>
            <w:tcW w:w="690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HDOS Acquisition LLC</w:t>
            </w:r>
          </w:p>
        </w:tc>
        <w:tc>
          <w:tcPr>
            <w:tcW w:w="690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HDOS Brand and Marketing Fund, LLC</w:t>
            </w:r>
          </w:p>
        </w:tc>
        <w:tc>
          <w:tcPr>
            <w:tcW w:w="6900" w:type="dxa"/>
            <w:vAlign w:val="bottom"/>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HDOS Franchise Brands, LLC</w:t>
            </w:r>
          </w:p>
        </w:tc>
        <w:tc>
          <w:tcPr>
            <w:tcW w:w="6900" w:type="dxa"/>
            <w:vAlign w:val="bottom"/>
          </w:tcPr>
          <w:p>
            <w:pPr>
              <w:spacing w:after="0"/>
              <w:rPr>
                <w:sz w:val="18"/>
                <w:szCs w:val="18"/>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HDOS Franchising, LLC</w:t>
            </w:r>
          </w:p>
        </w:tc>
        <w:tc>
          <w:tcPr>
            <w:tcW w:w="6900" w:type="dxa"/>
            <w:vAlign w:val="bottom"/>
          </w:tcPr>
          <w:p>
            <w:pPr>
              <w:spacing w:after="0"/>
              <w:rPr>
                <w:sz w:val="20"/>
                <w:szCs w:val="20"/>
                <w:color w:val="auto"/>
              </w:rPr>
            </w:pPr>
          </w:p>
        </w:tc>
      </w:tr>
      <w:tr>
        <w:trPr>
          <w:trHeight w:val="432"/>
        </w:trPr>
        <w:tc>
          <w:tcPr>
            <w:tcW w:w="434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DEBTOR-IN-POSSESSION CREDIT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March 25,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FAT BRANDS ROYALTY I, LLC, FAT BRANDS FAZOLI’S NATIVE I, LLC, FAT BRANDS GFG ROYALTY I, LLC, each a Debtor and debtor-in-possession under Chapter 11 of the Bankruptcy Code, as FBG DIP Borrowers,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HOSPITALITY I, LLC, a Debtor and debtor-in-possession under Chapter 11 of the Bankruptcy Code, as Twin DIP Borrower,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FAT BRANDS, INC., a Debtor and debtor-in-possession under Chapter 11 of the Bankruptcy Code, as Parent,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 HOSPITALITY GROUP INC., a Debtor and debtor-in-possession under Chapter 11 of the Bankruptcy Code, as Twin Manager,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DIP LENDERS PARTY HERETO,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UMB BANK, N.A.,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DIP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69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TABLE OF CONTENTS</w:t>
            </w:r>
          </w:p>
        </w:tc>
      </w:tr>
      <w:tr>
        <w:trPr>
          <w:trHeight w:val="439"/>
        </w:trPr>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 Definitions</w:t>
            </w:r>
          </w:p>
        </w:tc>
        <w:tc>
          <w:tcPr>
            <w:tcW w:w="6960" w:type="dxa"/>
            <w:vAlign w:val="bottom"/>
            <w:gridSpan w:val="2"/>
            <w:shd w:val="clear" w:color="auto" w:fill="CCEEFF"/>
          </w:tcPr>
          <w:p>
            <w:pPr>
              <w:jc w:val="center"/>
              <w:ind w:left="623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800" w:type="dxa"/>
            <w:vAlign w:val="bottom"/>
            <w:gridSpan w:val="2"/>
          </w:tcPr>
          <w:p>
            <w:pPr>
              <w:spacing w:after="0"/>
              <w:rPr>
                <w:sz w:val="18"/>
                <w:szCs w:val="18"/>
                <w:color w:val="auto"/>
              </w:rPr>
            </w:pPr>
          </w:p>
        </w:tc>
        <w:tc>
          <w:tcPr>
            <w:tcW w:w="3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2. The Commitment and Credit Extension</w:t>
            </w:r>
          </w:p>
        </w:tc>
        <w:tc>
          <w:tcPr>
            <w:tcW w:w="6960" w:type="dxa"/>
            <w:vAlign w:val="bottom"/>
            <w:gridSpan w:val="2"/>
            <w:shd w:val="clear" w:color="auto" w:fill="CCEEFF"/>
          </w:tcPr>
          <w:p>
            <w:pPr>
              <w:jc w:val="center"/>
              <w:ind w:left="621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800" w:type="dxa"/>
            <w:vAlign w:val="bottom"/>
            <w:gridSpan w:val="2"/>
          </w:tcPr>
          <w:p>
            <w:pPr>
              <w:spacing w:after="0"/>
              <w:rPr>
                <w:sz w:val="18"/>
                <w:szCs w:val="18"/>
                <w:color w:val="auto"/>
              </w:rPr>
            </w:pPr>
          </w:p>
        </w:tc>
        <w:tc>
          <w:tcPr>
            <w:tcW w:w="3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3. Representations and Warranties</w:t>
            </w:r>
          </w:p>
        </w:tc>
        <w:tc>
          <w:tcPr>
            <w:tcW w:w="6960" w:type="dxa"/>
            <w:vAlign w:val="bottom"/>
            <w:gridSpan w:val="2"/>
            <w:shd w:val="clear" w:color="auto" w:fill="CCEEFF"/>
          </w:tcPr>
          <w:p>
            <w:pPr>
              <w:jc w:val="center"/>
              <w:ind w:left="6210"/>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800" w:type="dxa"/>
            <w:vAlign w:val="bottom"/>
            <w:gridSpan w:val="2"/>
          </w:tcPr>
          <w:p>
            <w:pPr>
              <w:spacing w:after="0"/>
              <w:rPr>
                <w:sz w:val="18"/>
                <w:szCs w:val="18"/>
                <w:color w:val="auto"/>
              </w:rPr>
            </w:pPr>
          </w:p>
        </w:tc>
        <w:tc>
          <w:tcPr>
            <w:tcW w:w="3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4. Conditions Precedent</w:t>
            </w:r>
          </w:p>
        </w:tc>
        <w:tc>
          <w:tcPr>
            <w:tcW w:w="6960" w:type="dxa"/>
            <w:vAlign w:val="bottom"/>
            <w:gridSpan w:val="2"/>
            <w:shd w:val="clear" w:color="auto" w:fill="CCEEFF"/>
          </w:tcPr>
          <w:p>
            <w:pPr>
              <w:jc w:val="center"/>
              <w:ind w:left="6210"/>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800" w:type="dxa"/>
            <w:vAlign w:val="bottom"/>
            <w:gridSpan w:val="2"/>
          </w:tcPr>
          <w:p>
            <w:pPr>
              <w:spacing w:after="0"/>
              <w:rPr>
                <w:sz w:val="18"/>
                <w:szCs w:val="18"/>
                <w:color w:val="auto"/>
              </w:rPr>
            </w:pPr>
          </w:p>
        </w:tc>
        <w:tc>
          <w:tcPr>
            <w:tcW w:w="3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5. Covenants</w:t>
            </w:r>
          </w:p>
        </w:tc>
        <w:tc>
          <w:tcPr>
            <w:tcW w:w="6960" w:type="dxa"/>
            <w:vAlign w:val="bottom"/>
            <w:gridSpan w:val="2"/>
            <w:shd w:val="clear" w:color="auto" w:fill="CCEEFF"/>
          </w:tcPr>
          <w:p>
            <w:pPr>
              <w:jc w:val="center"/>
              <w:ind w:left="6210"/>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6.</w:t>
            </w:r>
          </w:p>
        </w:tc>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Events of Default</w:t>
            </w:r>
          </w:p>
        </w:tc>
        <w:tc>
          <w:tcPr>
            <w:tcW w:w="6960" w:type="dxa"/>
            <w:vAlign w:val="bottom"/>
            <w:gridSpan w:val="2"/>
            <w:shd w:val="clear" w:color="auto" w:fill="CCEEFF"/>
          </w:tcPr>
          <w:p>
            <w:pPr>
              <w:jc w:val="center"/>
              <w:ind w:left="6210"/>
              <w:spacing w:after="0"/>
              <w:rPr>
                <w:sz w:val="20"/>
                <w:szCs w:val="20"/>
                <w:color w:val="auto"/>
              </w:rPr>
            </w:pPr>
            <w:r>
              <w:rPr>
                <w:rFonts w:ascii="Times New Roman" w:cs="Times New Roman" w:eastAsia="Times New Roman" w:hAnsi="Times New Roman"/>
                <w:sz w:val="18"/>
                <w:szCs w:val="18"/>
                <w:color w:val="auto"/>
                <w:w w:val="99"/>
              </w:rPr>
              <w:t>49</w:t>
            </w: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7.</w:t>
            </w:r>
          </w:p>
        </w:tc>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Credit Bidding</w:t>
            </w:r>
          </w:p>
        </w:tc>
        <w:tc>
          <w:tcPr>
            <w:tcW w:w="6960" w:type="dxa"/>
            <w:vAlign w:val="bottom"/>
            <w:gridSpan w:val="2"/>
            <w:shd w:val="clear" w:color="auto" w:fill="CCEEFF"/>
          </w:tcPr>
          <w:p>
            <w:pPr>
              <w:jc w:val="center"/>
              <w:ind w:left="6210"/>
              <w:spacing w:after="0"/>
              <w:rPr>
                <w:sz w:val="20"/>
                <w:szCs w:val="20"/>
                <w:color w:val="auto"/>
              </w:rPr>
            </w:pPr>
            <w:r>
              <w:rPr>
                <w:rFonts w:ascii="Times New Roman" w:cs="Times New Roman" w:eastAsia="Times New Roman" w:hAnsi="Times New Roman"/>
                <w:sz w:val="18"/>
                <w:szCs w:val="18"/>
                <w:color w:val="auto"/>
                <w:w w:val="99"/>
              </w:rPr>
              <w:t>55</w:t>
            </w:r>
          </w:p>
        </w:tc>
      </w:tr>
      <w:tr>
        <w:trPr>
          <w:trHeight w:val="216"/>
        </w:trPr>
        <w:tc>
          <w:tcPr>
            <w:tcW w:w="800" w:type="dxa"/>
            <w:vAlign w:val="bottom"/>
            <w:gridSpan w:val="2"/>
          </w:tcPr>
          <w:p>
            <w:pPr>
              <w:spacing w:after="0"/>
              <w:rPr>
                <w:sz w:val="18"/>
                <w:szCs w:val="18"/>
                <w:color w:val="auto"/>
              </w:rPr>
            </w:pPr>
          </w:p>
        </w:tc>
        <w:tc>
          <w:tcPr>
            <w:tcW w:w="3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Miscellaneous</w:t>
            </w:r>
          </w:p>
        </w:tc>
        <w:tc>
          <w:tcPr>
            <w:tcW w:w="6960" w:type="dxa"/>
            <w:vAlign w:val="bottom"/>
            <w:gridSpan w:val="2"/>
            <w:shd w:val="clear" w:color="auto" w:fill="CCEEFF"/>
          </w:tcPr>
          <w:p>
            <w:pPr>
              <w:jc w:val="center"/>
              <w:ind w:left="6210"/>
              <w:spacing w:after="0"/>
              <w:rPr>
                <w:sz w:val="20"/>
                <w:szCs w:val="20"/>
                <w:color w:val="auto"/>
              </w:rPr>
            </w:pPr>
            <w:r>
              <w:rPr>
                <w:rFonts w:ascii="Times New Roman" w:cs="Times New Roman" w:eastAsia="Times New Roman" w:hAnsi="Times New Roman"/>
                <w:sz w:val="18"/>
                <w:szCs w:val="18"/>
                <w:color w:val="auto"/>
                <w:w w:val="99"/>
              </w:rPr>
              <w:t>55</w:t>
            </w:r>
          </w:p>
        </w:tc>
      </w:tr>
      <w:tr>
        <w:trPr>
          <w:trHeight w:val="216"/>
        </w:trPr>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9.</w:t>
            </w:r>
          </w:p>
        </w:tc>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The DIP Agent.</w:t>
            </w:r>
          </w:p>
        </w:tc>
        <w:tc>
          <w:tcPr>
            <w:tcW w:w="6960" w:type="dxa"/>
            <w:vAlign w:val="bottom"/>
            <w:gridSpan w:val="2"/>
            <w:shd w:val="clear" w:color="auto" w:fill="CCEEFF"/>
          </w:tcPr>
          <w:p>
            <w:pPr>
              <w:jc w:val="center"/>
              <w:ind w:left="6210"/>
              <w:spacing w:after="0"/>
              <w:rPr>
                <w:sz w:val="20"/>
                <w:szCs w:val="20"/>
                <w:color w:val="auto"/>
              </w:rPr>
            </w:pPr>
            <w:r>
              <w:rPr>
                <w:rFonts w:ascii="Times New Roman" w:cs="Times New Roman" w:eastAsia="Times New Roman" w:hAnsi="Times New Roman"/>
                <w:sz w:val="18"/>
                <w:szCs w:val="18"/>
                <w:color w:val="auto"/>
                <w:w w:val="99"/>
              </w:rPr>
              <w:t>69</w:t>
            </w:r>
          </w:p>
        </w:tc>
      </w:tr>
      <w:tr>
        <w:trPr>
          <w:trHeight w:val="216"/>
        </w:trPr>
        <w:tc>
          <w:tcPr>
            <w:tcW w:w="800" w:type="dxa"/>
            <w:vAlign w:val="bottom"/>
            <w:gridSpan w:val="2"/>
          </w:tcPr>
          <w:p>
            <w:pPr>
              <w:spacing w:after="0"/>
              <w:rPr>
                <w:sz w:val="18"/>
                <w:szCs w:val="18"/>
                <w:color w:val="auto"/>
              </w:rPr>
            </w:pPr>
          </w:p>
        </w:tc>
        <w:tc>
          <w:tcPr>
            <w:tcW w:w="3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10. Collateral Matters</w:t>
            </w:r>
          </w:p>
        </w:tc>
        <w:tc>
          <w:tcPr>
            <w:tcW w:w="6960" w:type="dxa"/>
            <w:vAlign w:val="bottom"/>
            <w:gridSpan w:val="2"/>
            <w:shd w:val="clear" w:color="auto" w:fill="CCEEFF"/>
          </w:tcPr>
          <w:p>
            <w:pPr>
              <w:jc w:val="center"/>
              <w:ind w:left="6210"/>
              <w:spacing w:after="0"/>
              <w:rPr>
                <w:sz w:val="20"/>
                <w:szCs w:val="20"/>
                <w:color w:val="auto"/>
              </w:rPr>
            </w:pPr>
            <w:r>
              <w:rPr>
                <w:rFonts w:ascii="Times New Roman" w:cs="Times New Roman" w:eastAsia="Times New Roman" w:hAnsi="Times New Roman"/>
                <w:sz w:val="18"/>
                <w:szCs w:val="18"/>
                <w:color w:val="auto"/>
                <w:w w:val="99"/>
              </w:rPr>
              <w:t>82</w:t>
            </w:r>
          </w:p>
        </w:tc>
      </w:tr>
      <w:tr>
        <w:trPr>
          <w:trHeight w:val="216"/>
        </w:trPr>
        <w:tc>
          <w:tcPr>
            <w:tcW w:w="800" w:type="dxa"/>
            <w:vAlign w:val="bottom"/>
            <w:gridSpan w:val="2"/>
          </w:tcPr>
          <w:p>
            <w:pPr>
              <w:spacing w:after="0"/>
              <w:rPr>
                <w:sz w:val="18"/>
                <w:szCs w:val="18"/>
                <w:color w:val="auto"/>
              </w:rPr>
            </w:pPr>
          </w:p>
        </w:tc>
        <w:tc>
          <w:tcPr>
            <w:tcW w:w="3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Section 11. Remedies with Respect to Collateral</w:t>
            </w:r>
          </w:p>
        </w:tc>
        <w:tc>
          <w:tcPr>
            <w:tcW w:w="6960" w:type="dxa"/>
            <w:vAlign w:val="bottom"/>
            <w:gridSpan w:val="2"/>
            <w:shd w:val="clear" w:color="auto" w:fill="CCEEFF"/>
          </w:tcPr>
          <w:p>
            <w:pPr>
              <w:jc w:val="center"/>
              <w:ind w:left="6210"/>
              <w:spacing w:after="0"/>
              <w:rPr>
                <w:sz w:val="20"/>
                <w:szCs w:val="20"/>
                <w:color w:val="auto"/>
              </w:rPr>
            </w:pPr>
            <w:r>
              <w:rPr>
                <w:rFonts w:ascii="Times New Roman" w:cs="Times New Roman" w:eastAsia="Times New Roman" w:hAnsi="Times New Roman"/>
                <w:sz w:val="18"/>
                <w:szCs w:val="18"/>
                <w:color w:val="auto"/>
                <w:w w:val="99"/>
              </w:rPr>
              <w:t>84</w:t>
            </w:r>
          </w:p>
        </w:tc>
      </w:tr>
      <w:tr>
        <w:trPr>
          <w:trHeight w:val="216"/>
        </w:trPr>
        <w:tc>
          <w:tcPr>
            <w:tcW w:w="800" w:type="dxa"/>
            <w:vAlign w:val="bottom"/>
            <w:gridSpan w:val="2"/>
          </w:tcPr>
          <w:p>
            <w:pPr>
              <w:spacing w:after="0"/>
              <w:rPr>
                <w:sz w:val="18"/>
                <w:szCs w:val="18"/>
                <w:color w:val="auto"/>
              </w:rPr>
            </w:pPr>
          </w:p>
        </w:tc>
        <w:tc>
          <w:tcPr>
            <w:tcW w:w="34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76"/>
        </w:trPr>
        <w:tc>
          <w:tcPr>
            <w:tcW w:w="42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Schedule 1 – Commitments</w:t>
            </w:r>
          </w:p>
        </w:tc>
        <w:tc>
          <w:tcPr>
            <w:tcW w:w="6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0"/>
        </w:trPr>
        <w:tc>
          <w:tcPr>
            <w:tcW w:w="7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6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1A</w:t>
      </w:r>
      <w:r>
        <w:rPr>
          <w:rFonts w:ascii="Times New Roman" w:cs="Times New Roman" w:eastAsia="Times New Roman" w:hAnsi="Times New Roman"/>
          <w:sz w:val="18"/>
          <w:szCs w:val="18"/>
          <w:color w:val="auto"/>
        </w:rPr>
        <w:t xml:space="preserve"> – Permitted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1B</w:t>
      </w:r>
      <w:r>
        <w:rPr>
          <w:rFonts w:ascii="Times New Roman" w:cs="Times New Roman" w:eastAsia="Times New Roman" w:hAnsi="Times New Roman"/>
          <w:sz w:val="18"/>
          <w:szCs w:val="18"/>
          <w:color w:val="auto"/>
        </w:rPr>
        <w:t xml:space="preserve"> – Permitted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4(a)</w:t>
      </w:r>
      <w:r>
        <w:rPr>
          <w:rFonts w:ascii="Times New Roman" w:cs="Times New Roman" w:eastAsia="Times New Roman" w:hAnsi="Times New Roman"/>
          <w:sz w:val="18"/>
          <w:szCs w:val="18"/>
          <w:color w:val="auto"/>
        </w:rPr>
        <w:t xml:space="preserve"> – Stipulated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5(c)</w:t>
      </w:r>
      <w:r>
        <w:rPr>
          <w:rFonts w:ascii="Times New Roman" w:cs="Times New Roman" w:eastAsia="Times New Roman" w:hAnsi="Times New Roman"/>
          <w:sz w:val="18"/>
          <w:szCs w:val="18"/>
          <w:color w:val="auto"/>
        </w:rPr>
        <w:t xml:space="preserve"> – Post-Closing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5(e)</w:t>
      </w:r>
      <w:r>
        <w:rPr>
          <w:rFonts w:ascii="Times New Roman" w:cs="Times New Roman" w:eastAsia="Times New Roman" w:hAnsi="Times New Roman"/>
          <w:sz w:val="18"/>
          <w:szCs w:val="18"/>
          <w:color w:val="auto"/>
        </w:rPr>
        <w:t xml:space="preserve"> –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 Interim DIP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 Form of Notice of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 Form of FBG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 Form of Twin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 Form of Assignment and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u w:val="single" w:color="auto"/>
          <w:color w:val="auto"/>
        </w:rPr>
        <w:t>DEBTOR-IN-POSSESSION CREDIT AGREEMENT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DEBTOR-IN-POSSESSION CREDIT AGREEMENT (as amended, restated, amended and restated, supplemented or otherwise modified from time to time,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dated as of March 25, 2026, among </w:t>
      </w:r>
      <w:r>
        <w:rPr>
          <w:rFonts w:ascii="Times New Roman" w:cs="Times New Roman" w:eastAsia="Times New Roman" w:hAnsi="Times New Roman"/>
          <w:sz w:val="18"/>
          <w:szCs w:val="18"/>
          <w:b w:val="1"/>
          <w:bCs w:val="1"/>
          <w:color w:val="auto"/>
        </w:rPr>
        <w:t>FAT BRANDS ROYALTY I, LLC</w:t>
      </w:r>
      <w:r>
        <w:rPr>
          <w:rFonts w:ascii="Times New Roman" w:cs="Times New Roman" w:eastAsia="Times New Roman" w:hAnsi="Times New Roman"/>
          <w:sz w:val="18"/>
          <w:szCs w:val="18"/>
          <w:color w:val="auto"/>
        </w:rPr>
        <w:t>, a Delaware limited liability company and a debtor and debtor-in-possession under Chapter 11 of the Bankruptcy Code (“</w:t>
      </w:r>
      <w:r>
        <w:rPr>
          <w:rFonts w:ascii="Times New Roman" w:cs="Times New Roman" w:eastAsia="Times New Roman" w:hAnsi="Times New Roman"/>
          <w:sz w:val="18"/>
          <w:szCs w:val="18"/>
          <w:u w:val="single" w:color="auto"/>
          <w:color w:val="auto"/>
        </w:rPr>
        <w:t>FB Royalty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FAT BRANDS FAZOLI’S NATIVE I, LLC</w:t>
      </w:r>
      <w:r>
        <w:rPr>
          <w:rFonts w:ascii="Times New Roman" w:cs="Times New Roman" w:eastAsia="Times New Roman" w:hAnsi="Times New Roman"/>
          <w:sz w:val="18"/>
          <w:szCs w:val="18"/>
          <w:color w:val="auto"/>
        </w:rPr>
        <w:t>, a Delaware limited liability company and a debtor and debtor-in-possession under Chapter 11 of the Bankruptcy Code (“</w:t>
      </w:r>
      <w:r>
        <w:rPr>
          <w:rFonts w:ascii="Times New Roman" w:cs="Times New Roman" w:eastAsia="Times New Roman" w:hAnsi="Times New Roman"/>
          <w:sz w:val="18"/>
          <w:szCs w:val="18"/>
          <w:u w:val="single" w:color="auto"/>
          <w:color w:val="auto"/>
        </w:rPr>
        <w:t>FB Fazoli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FAT BRANDS GFG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ROYALTY I, LLC</w:t>
      </w:r>
      <w:r>
        <w:rPr>
          <w:rFonts w:ascii="Times New Roman" w:cs="Times New Roman" w:eastAsia="Times New Roman" w:hAnsi="Times New Roman"/>
          <w:sz w:val="18"/>
          <w:szCs w:val="18"/>
          <w:color w:val="auto"/>
        </w:rPr>
        <w:t>, a Delaware limited liability company and a debtor and debtor-in-possession under Chapter 11 of the Bankruptcy Code (“</w:t>
      </w:r>
      <w:r>
        <w:rPr>
          <w:rFonts w:ascii="Times New Roman" w:cs="Times New Roman" w:eastAsia="Times New Roman" w:hAnsi="Times New Roman"/>
          <w:sz w:val="18"/>
          <w:szCs w:val="18"/>
          <w:u w:val="single" w:color="auto"/>
          <w:color w:val="auto"/>
        </w:rPr>
        <w:t>FB GFG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together with FB Royalty and FB Fazoli, each a “</w:t>
      </w:r>
      <w:r>
        <w:rPr>
          <w:rFonts w:ascii="Times New Roman" w:cs="Times New Roman" w:eastAsia="Times New Roman" w:hAnsi="Times New Roman"/>
          <w:sz w:val="18"/>
          <w:szCs w:val="18"/>
          <w:u w:val="single" w:color="auto"/>
          <w:color w:val="auto"/>
        </w:rPr>
        <w:t>FBG DIP Borrower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FBG DIP Borrowers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TWIN HOSPITALITY I, LLC</w:t>
      </w:r>
      <w:r>
        <w:rPr>
          <w:rFonts w:ascii="Times New Roman" w:cs="Times New Roman" w:eastAsia="Times New Roman" w:hAnsi="Times New Roman"/>
          <w:sz w:val="18"/>
          <w:szCs w:val="18"/>
          <w:color w:val="auto"/>
        </w:rPr>
        <w:t>, a Delaware limited liability company and a debtor and debtor-in-possession under Chapter 11 of the Bankruptcy Code (the “</w:t>
      </w:r>
      <w:r>
        <w:rPr>
          <w:rFonts w:ascii="Times New Roman" w:cs="Times New Roman" w:eastAsia="Times New Roman" w:hAnsi="Times New Roman"/>
          <w:sz w:val="18"/>
          <w:szCs w:val="18"/>
          <w:u w:val="single" w:color="auto"/>
          <w:color w:val="auto"/>
        </w:rPr>
        <w:t>Twin DIP Borrower</w:t>
      </w:r>
      <w:r>
        <w:rPr>
          <w:rFonts w:ascii="Times New Roman" w:cs="Times New Roman" w:eastAsia="Times New Roman" w:hAnsi="Times New Roman"/>
          <w:sz w:val="18"/>
          <w:szCs w:val="18"/>
          <w:color w:val="auto"/>
        </w:rPr>
        <w:t>”, and together with the FBG DIP Borrowers,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FAT BRANDS, INC.</w:t>
      </w:r>
      <w:r>
        <w:rPr>
          <w:rFonts w:ascii="Times New Roman" w:cs="Times New Roman" w:eastAsia="Times New Roman" w:hAnsi="Times New Roman"/>
          <w:sz w:val="18"/>
          <w:szCs w:val="18"/>
          <w:color w:val="auto"/>
        </w:rPr>
        <w:t>, a Delaware corporation and a debtor and debtor-in-possession under Chapter 11 of the Bankruptcy Code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TWIN HOSPITALITY GROUP INC.</w:t>
      </w:r>
      <w:r>
        <w:rPr>
          <w:rFonts w:ascii="Times New Roman" w:cs="Times New Roman" w:eastAsia="Times New Roman" w:hAnsi="Times New Roman"/>
          <w:sz w:val="18"/>
          <w:szCs w:val="18"/>
          <w:color w:val="auto"/>
        </w:rPr>
        <w:t>, a Delaware Corporation and a debtor and debtor-in-possession under Chapter 11 of the Bankruptcy Code (the “</w:t>
      </w:r>
      <w:r>
        <w:rPr>
          <w:rFonts w:ascii="Times New Roman" w:cs="Times New Roman" w:eastAsia="Times New Roman" w:hAnsi="Times New Roman"/>
          <w:sz w:val="18"/>
          <w:szCs w:val="18"/>
          <w:u w:val="single" w:color="auto"/>
          <w:color w:val="auto"/>
        </w:rPr>
        <w:t>Twin Manager</w:t>
      </w:r>
      <w:r>
        <w:rPr>
          <w:rFonts w:ascii="Times New Roman" w:cs="Times New Roman" w:eastAsia="Times New Roman" w:hAnsi="Times New Roman"/>
          <w:sz w:val="18"/>
          <w:szCs w:val="18"/>
          <w:color w:val="auto"/>
        </w:rPr>
        <w:t xml:space="preserve">”), the DIP Lenders (as defined below) party hereto from time to time and </w:t>
      </w:r>
      <w:r>
        <w:rPr>
          <w:rFonts w:ascii="Times New Roman" w:cs="Times New Roman" w:eastAsia="Times New Roman" w:hAnsi="Times New Roman"/>
          <w:sz w:val="18"/>
          <w:szCs w:val="18"/>
          <w:b w:val="1"/>
          <w:bCs w:val="1"/>
          <w:color w:val="auto"/>
        </w:rPr>
        <w:t>UMB 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N.A.</w:t>
      </w:r>
      <w:r>
        <w:rPr>
          <w:rFonts w:ascii="Times New Roman" w:cs="Times New Roman" w:eastAsia="Times New Roman" w:hAnsi="Times New Roman"/>
          <w:sz w:val="18"/>
          <w:szCs w:val="18"/>
          <w:color w:val="auto"/>
        </w:rPr>
        <w:t>, as administrative agent and as collateral agent (in such capacities, and as further defined in Section 1, the “</w:t>
      </w:r>
      <w:r>
        <w:rPr>
          <w:rFonts w:ascii="Times New Roman" w:cs="Times New Roman" w:eastAsia="Times New Roman" w:hAnsi="Times New Roman"/>
          <w:sz w:val="18"/>
          <w:szCs w:val="18"/>
          <w:u w:val="single" w:color="auto"/>
          <w:color w:val="auto"/>
        </w:rPr>
        <w:t>DIP Agent</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on January 26, 2026 (the “</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the Parent and its direct and indirect subsidiaries (the “</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filed voluntary proceedings (the “</w:t>
      </w:r>
      <w:r>
        <w:rPr>
          <w:rFonts w:ascii="Times New Roman" w:cs="Times New Roman" w:eastAsia="Times New Roman" w:hAnsi="Times New Roman"/>
          <w:sz w:val="18"/>
          <w:szCs w:val="18"/>
          <w:u w:val="single" w:color="auto"/>
          <w:color w:val="auto"/>
        </w:rPr>
        <w:t>Chapter 11 Cases</w:t>
      </w:r>
      <w:r>
        <w:rPr>
          <w:rFonts w:ascii="Times New Roman" w:cs="Times New Roman" w:eastAsia="Times New Roman" w:hAnsi="Times New Roman"/>
          <w:sz w:val="18"/>
          <w:szCs w:val="18"/>
          <w:color w:val="auto"/>
        </w:rPr>
        <w:t>”) under chapter 11 of title 11 of the United States Code entitled “Bankruptcy” (as amended,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in the United States Bankruptcy Court for the Southern District of Texas (the “</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 and such Debtors continue to operate their businesses and manage their properties as debtors-in-possession pursuant to sections 1107 and 1108 of the Bankruptcy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WHEREAS, prior to the Petition Date, (a) FB Royalty is party to that certain Base Indenture, dated as of March 6, 2020, as amended and restated as of April 26, 2021, and as supplemented by the Series 2021-1 Supplement and Series 2022-1 Supplement thereto, dated as of April 26, 2021 and July 6, 2022, respectively (as further amended, restated, amended and restated, modified, or supplemented prior to the date hereof, the “</w:t>
      </w:r>
      <w:r>
        <w:rPr>
          <w:rFonts w:ascii="Times New Roman" w:cs="Times New Roman" w:eastAsia="Times New Roman" w:hAnsi="Times New Roman"/>
          <w:sz w:val="18"/>
          <w:szCs w:val="18"/>
          <w:u w:val="single" w:color="auto"/>
          <w:color w:val="auto"/>
        </w:rPr>
        <w:t>Royalty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FB Royalty and UMB Bank, N.A. as trustee (in such capacity under the Royalty Indenture, the “</w:t>
      </w:r>
      <w:r>
        <w:rPr>
          <w:rFonts w:ascii="Times New Roman" w:cs="Times New Roman" w:eastAsia="Times New Roman" w:hAnsi="Times New Roman"/>
          <w:sz w:val="18"/>
          <w:szCs w:val="18"/>
          <w:u w:val="single" w:color="auto"/>
          <w:color w:val="auto"/>
        </w:rPr>
        <w:t>Royalty Trustee</w:t>
      </w:r>
      <w:r>
        <w:rPr>
          <w:rFonts w:ascii="Times New Roman" w:cs="Times New Roman" w:eastAsia="Times New Roman" w:hAnsi="Times New Roman"/>
          <w:sz w:val="18"/>
          <w:szCs w:val="18"/>
          <w:color w:val="auto"/>
        </w:rPr>
        <w:t>”) and securities intermediary, pursuant to which FB Royalty on April 26, 2021, issued, among other things, (i) $97,104,000 in aggregate principal amount of Series 2021-1 Class A-2 senior secured notes (the “</w:t>
      </w:r>
      <w:r>
        <w:rPr>
          <w:rFonts w:ascii="Times New Roman" w:cs="Times New Roman" w:eastAsia="Times New Roman" w:hAnsi="Times New Roman"/>
          <w:sz w:val="18"/>
          <w:szCs w:val="18"/>
          <w:u w:val="single" w:color="auto"/>
          <w:color w:val="auto"/>
        </w:rPr>
        <w:t>Royalty Series 2021-1 Class A-2 Notes</w:t>
      </w:r>
      <w:r>
        <w:rPr>
          <w:rFonts w:ascii="Times New Roman" w:cs="Times New Roman" w:eastAsia="Times New Roman" w:hAnsi="Times New Roman"/>
          <w:sz w:val="18"/>
          <w:szCs w:val="18"/>
          <w:color w:val="auto"/>
        </w:rPr>
        <w:t>”) with an interest rate of 4.75% and a maturity date of April 25, 2051 and (ii) $32,368,000 in aggregate principal amount of Series 2021-1 Class B-2 senior subordinated notes with an interest rate of 8.00% and a maturity date of April 25, 2051, and, on July 6, 2022, issued, among other things, (i) $42,696,000 in aggregate principal amount of Series 2022-1 Class A-2 senior secured notes (the “</w:t>
      </w:r>
      <w:r>
        <w:rPr>
          <w:rFonts w:ascii="Times New Roman" w:cs="Times New Roman" w:eastAsia="Times New Roman" w:hAnsi="Times New Roman"/>
          <w:sz w:val="18"/>
          <w:szCs w:val="18"/>
          <w:u w:val="single" w:color="auto"/>
          <w:color w:val="auto"/>
        </w:rPr>
        <w:t>Royalty Series 2022-1 Class A-2 Notes</w:t>
      </w:r>
      <w:r>
        <w:rPr>
          <w:rFonts w:ascii="Times New Roman" w:cs="Times New Roman" w:eastAsia="Times New Roman" w:hAnsi="Times New Roman"/>
          <w:sz w:val="18"/>
          <w:szCs w:val="18"/>
          <w:color w:val="auto"/>
        </w:rPr>
        <w:t>”; and together with the Royalty Series 2021-1 Class A-2 Notes, the “</w:t>
      </w:r>
      <w:r>
        <w:rPr>
          <w:rFonts w:ascii="Times New Roman" w:cs="Times New Roman" w:eastAsia="Times New Roman" w:hAnsi="Times New Roman"/>
          <w:sz w:val="18"/>
          <w:szCs w:val="18"/>
          <w:u w:val="single" w:color="auto"/>
          <w:color w:val="auto"/>
        </w:rPr>
        <w:t>Royalty Class A-2 Notes</w:t>
      </w:r>
      <w:r>
        <w:rPr>
          <w:rFonts w:ascii="Times New Roman" w:cs="Times New Roman" w:eastAsia="Times New Roman" w:hAnsi="Times New Roman"/>
          <w:sz w:val="18"/>
          <w:szCs w:val="18"/>
          <w:color w:val="auto"/>
        </w:rPr>
        <w:t>”) with an interest rate of 4.75% and a maturity date of April 25, 2051 and (ii) $14,232,000 in aggregate principal amount of Class B-2 senior subordinated notes with an interest rate of 8.00% and a maturity date of April 25, 2051 (collectively, the “</w:t>
      </w:r>
      <w:r>
        <w:rPr>
          <w:rFonts w:ascii="Times New Roman" w:cs="Times New Roman" w:eastAsia="Times New Roman" w:hAnsi="Times New Roman"/>
          <w:sz w:val="18"/>
          <w:szCs w:val="18"/>
          <w:u w:val="single" w:color="auto"/>
          <w:color w:val="auto"/>
        </w:rPr>
        <w:t>Royalty Prepetition Notes</w:t>
      </w:r>
      <w:r>
        <w:rPr>
          <w:rFonts w:ascii="Times New Roman" w:cs="Times New Roman" w:eastAsia="Times New Roman" w:hAnsi="Times New Roman"/>
          <w:sz w:val="18"/>
          <w:szCs w:val="18"/>
          <w:color w:val="auto"/>
        </w:rPr>
        <w:t>”); (b) FB GFG is party to that certain Base Indenture dated as of July 22, 2021, as supplemented by the Series 2021-1 Supplement and 2022-1 Supplement thereto, dated as of July 22, 2021 and December 15, 2022, respectively (as further amended, restated, amended and restated, modified, or supplemented prior to the date hereof, the “</w:t>
      </w:r>
      <w:r>
        <w:rPr>
          <w:rFonts w:ascii="Times New Roman" w:cs="Times New Roman" w:eastAsia="Times New Roman" w:hAnsi="Times New Roman"/>
          <w:sz w:val="18"/>
          <w:szCs w:val="18"/>
          <w:u w:val="single" w:color="auto"/>
          <w:color w:val="auto"/>
        </w:rPr>
        <w:t>GFG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FB GFG and UMB Bank, N.A. as trustee (in such capacity under the GFG Indenture, the “</w:t>
      </w:r>
      <w:r>
        <w:rPr>
          <w:rFonts w:ascii="Times New Roman" w:cs="Times New Roman" w:eastAsia="Times New Roman" w:hAnsi="Times New Roman"/>
          <w:sz w:val="18"/>
          <w:szCs w:val="18"/>
          <w:u w:val="single" w:color="auto"/>
          <w:color w:val="auto"/>
        </w:rPr>
        <w:t>GFG Trustee</w:t>
      </w:r>
      <w:r>
        <w:rPr>
          <w:rFonts w:ascii="Times New Roman" w:cs="Times New Roman" w:eastAsia="Times New Roman" w:hAnsi="Times New Roman"/>
          <w:sz w:val="18"/>
          <w:szCs w:val="18"/>
          <w:color w:val="auto"/>
        </w:rPr>
        <w:t>”) and securities intermediary, pursuant to which FB GFG on July 22, 2021, issued, among other things, (i) $209,000,000 in aggregate principal amount of Series 2021-1 Class A-2 senior secured notes (the “</w:t>
      </w:r>
      <w:r>
        <w:rPr>
          <w:rFonts w:ascii="Times New Roman" w:cs="Times New Roman" w:eastAsia="Times New Roman" w:hAnsi="Times New Roman"/>
          <w:sz w:val="18"/>
          <w:szCs w:val="18"/>
          <w:u w:val="single" w:color="auto"/>
          <w:color w:val="auto"/>
        </w:rPr>
        <w:t>GFG Series 2021-1 Class A-2 Notes</w:t>
      </w:r>
      <w:r>
        <w:rPr>
          <w:rFonts w:ascii="Times New Roman" w:cs="Times New Roman" w:eastAsia="Times New Roman" w:hAnsi="Times New Roman"/>
          <w:sz w:val="18"/>
          <w:szCs w:val="18"/>
          <w:color w:val="auto"/>
        </w:rPr>
        <w:t>”) with an interest rate of 6.00% and a maturity date of July 25, 2051 and (ii) $84,000,000 in aggregate principal amount of Series 2021-1 Class B-2 senior subordinated notes with an interest rate of 7.00% and a maturity date of July 25, 2051, and, on December 15, 2022, issued (i) $67,756,000 in aggregate principal amount of Series 2022-1 Class A-2 senior secured notes (the “</w:t>
      </w:r>
      <w:r>
        <w:rPr>
          <w:rFonts w:ascii="Times New Roman" w:cs="Times New Roman" w:eastAsia="Times New Roman" w:hAnsi="Times New Roman"/>
          <w:sz w:val="18"/>
          <w:szCs w:val="18"/>
          <w:u w:val="single" w:color="auto"/>
          <w:color w:val="auto"/>
        </w:rPr>
        <w:t>GFG Series 2022-1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Class A-2 Notes</w:t>
      </w:r>
      <w:r>
        <w:rPr>
          <w:rFonts w:ascii="Times New Roman" w:cs="Times New Roman" w:eastAsia="Times New Roman" w:hAnsi="Times New Roman"/>
          <w:sz w:val="18"/>
          <w:szCs w:val="18"/>
          <w:color w:val="auto"/>
        </w:rPr>
        <w:t>”; and together with the GFG Series 2021-1 Class A-2 Notes, the “</w:t>
      </w:r>
      <w:r>
        <w:rPr>
          <w:rFonts w:ascii="Times New Roman" w:cs="Times New Roman" w:eastAsia="Times New Roman" w:hAnsi="Times New Roman"/>
          <w:sz w:val="18"/>
          <w:szCs w:val="18"/>
          <w:u w:val="single" w:color="auto"/>
          <w:color w:val="auto"/>
        </w:rPr>
        <w:t>GFG Class A-2 Notes</w:t>
      </w:r>
      <w:r>
        <w:rPr>
          <w:rFonts w:ascii="Times New Roman" w:cs="Times New Roman" w:eastAsia="Times New Roman" w:hAnsi="Times New Roman"/>
          <w:sz w:val="18"/>
          <w:szCs w:val="18"/>
          <w:color w:val="auto"/>
        </w:rPr>
        <w:t>”) with an interest rate of 6.00% and a maturity date of July 25, 2051 and (ii) $20,261,000 in aggregate principal amount of Class B-2 senior subordinated notes with an interest rate of 7.00% and a maturity date of July 25, 2051 (the “</w:t>
      </w:r>
      <w:r>
        <w:rPr>
          <w:rFonts w:ascii="Times New Roman" w:cs="Times New Roman" w:eastAsia="Times New Roman" w:hAnsi="Times New Roman"/>
          <w:sz w:val="18"/>
          <w:szCs w:val="18"/>
          <w:u w:val="single" w:color="auto"/>
          <w:color w:val="auto"/>
        </w:rPr>
        <w:t>GFG Prepetition Notes</w:t>
      </w:r>
      <w:r>
        <w:rPr>
          <w:rFonts w:ascii="Times New Roman" w:cs="Times New Roman" w:eastAsia="Times New Roman" w:hAnsi="Times New Roman"/>
          <w:sz w:val="18"/>
          <w:szCs w:val="18"/>
          <w:color w:val="auto"/>
        </w:rPr>
        <w:t>”); and (c) FB Fazoli is party to that certain Base Indenture, dated as of December 15, 2021, as amended by Omnibus Amendment No. 1, dated as of March 28, 2025, and as supplemented by the Series 2021-1 Supplement thereto, dated as of December 15, 2021 (as further amended, restated, amended and restated, modified, or supplemented prior to the date hereof, the “</w:t>
      </w:r>
      <w:r>
        <w:rPr>
          <w:rFonts w:ascii="Times New Roman" w:cs="Times New Roman" w:eastAsia="Times New Roman" w:hAnsi="Times New Roman"/>
          <w:sz w:val="18"/>
          <w:szCs w:val="18"/>
          <w:u w:val="single" w:color="auto"/>
          <w:color w:val="auto"/>
        </w:rPr>
        <w:t>Fazoli Indenture</w:t>
      </w:r>
      <w:r>
        <w:rPr>
          <w:rFonts w:ascii="Times New Roman" w:cs="Times New Roman" w:eastAsia="Times New Roman" w:hAnsi="Times New Roman"/>
          <w:sz w:val="18"/>
          <w:szCs w:val="18"/>
          <w:color w:val="auto"/>
        </w:rPr>
        <w:t>”; and, collectively with the Royalty Indenture and GFG Indenture, the “</w:t>
      </w:r>
      <w:r>
        <w:rPr>
          <w:rFonts w:ascii="Times New Roman" w:cs="Times New Roman" w:eastAsia="Times New Roman" w:hAnsi="Times New Roman"/>
          <w:sz w:val="18"/>
          <w:szCs w:val="18"/>
          <w:u w:val="single" w:color="auto"/>
          <w:color w:val="auto"/>
        </w:rPr>
        <w:t>FBG Prepetition Indentures</w:t>
      </w:r>
      <w:r>
        <w:rPr>
          <w:rFonts w:ascii="Times New Roman" w:cs="Times New Roman" w:eastAsia="Times New Roman" w:hAnsi="Times New Roman"/>
          <w:sz w:val="18"/>
          <w:szCs w:val="18"/>
          <w:color w:val="auto"/>
        </w:rPr>
        <w:t>”), among FB Fazoli and UMB Bank, N.A. as trustee (in such capacity under the Fazoli Indenture, the “</w:t>
      </w:r>
      <w:r>
        <w:rPr>
          <w:rFonts w:ascii="Times New Roman" w:cs="Times New Roman" w:eastAsia="Times New Roman" w:hAnsi="Times New Roman"/>
          <w:sz w:val="18"/>
          <w:szCs w:val="18"/>
          <w:u w:val="single" w:color="auto"/>
          <w:color w:val="auto"/>
        </w:rPr>
        <w:t>Fazoli Trustee</w:t>
      </w:r>
      <w:r>
        <w:rPr>
          <w:rFonts w:ascii="Times New Roman" w:cs="Times New Roman" w:eastAsia="Times New Roman" w:hAnsi="Times New Roman"/>
          <w:sz w:val="18"/>
          <w:szCs w:val="18"/>
          <w:color w:val="auto"/>
        </w:rPr>
        <w:t>”; together with the Royalty Trustee and the GFG Trustee, the “</w:t>
      </w:r>
      <w:r>
        <w:rPr>
          <w:rFonts w:ascii="Times New Roman" w:cs="Times New Roman" w:eastAsia="Times New Roman" w:hAnsi="Times New Roman"/>
          <w:sz w:val="18"/>
          <w:szCs w:val="18"/>
          <w:u w:val="single" w:color="auto"/>
          <w:color w:val="auto"/>
        </w:rPr>
        <w:t>FBG Prepetition Notes Trustee</w:t>
      </w:r>
      <w:r>
        <w:rPr>
          <w:rFonts w:ascii="Times New Roman" w:cs="Times New Roman" w:eastAsia="Times New Roman" w:hAnsi="Times New Roman"/>
          <w:sz w:val="18"/>
          <w:szCs w:val="18"/>
          <w:color w:val="auto"/>
        </w:rPr>
        <w:t>”) and securities intermediary, pursuant to which FB Fazoli issued, among other things, $128,760,000 in aggregate principal amount of Series 2021-1 Class A-2 senior secured notes with an interest rate of 6.00% and a maturity date of July 25, 2051 (the “</w:t>
      </w:r>
      <w:r>
        <w:rPr>
          <w:rFonts w:ascii="Times New Roman" w:cs="Times New Roman" w:eastAsia="Times New Roman" w:hAnsi="Times New Roman"/>
          <w:sz w:val="18"/>
          <w:szCs w:val="18"/>
          <w:u w:val="single" w:color="auto"/>
          <w:color w:val="auto"/>
        </w:rPr>
        <w:t>Fazoli Prepetition Notes</w:t>
      </w:r>
      <w:r>
        <w:rPr>
          <w:rFonts w:ascii="Times New Roman" w:cs="Times New Roman" w:eastAsia="Times New Roman" w:hAnsi="Times New Roman"/>
          <w:sz w:val="18"/>
          <w:szCs w:val="18"/>
          <w:color w:val="auto"/>
        </w:rPr>
        <w:t>”; together with the Royalty Prepetition Notes and the GFG Prepetition Notes, the “</w:t>
      </w:r>
      <w:r>
        <w:rPr>
          <w:rFonts w:ascii="Times New Roman" w:cs="Times New Roman" w:eastAsia="Times New Roman" w:hAnsi="Times New Roman"/>
          <w:sz w:val="18"/>
          <w:szCs w:val="18"/>
          <w:u w:val="single" w:color="auto"/>
          <w:color w:val="auto"/>
        </w:rPr>
        <w:t>FBG Prepetition Notes</w:t>
      </w:r>
      <w:r>
        <w:rPr>
          <w:rFonts w:ascii="Times New Roman" w:cs="Times New Roman" w:eastAsia="Times New Roman" w:hAnsi="Times New Roman"/>
          <w:sz w:val="18"/>
          <w:szCs w:val="18"/>
          <w:color w:val="auto"/>
        </w:rPr>
        <w:t>”). The FBG Prepetition Indentures and all other agreements, guarantees, pledges, collateral and security documents, management agreements, control agreements, instruments, certificates, notes and other documents executed, recorded and/or delivered in connection therewith, including without limitation the “Indenture Documents” (as defined in the applicable FBG Prepetition Indenture), shall collectively be referred to as the “</w:t>
      </w:r>
      <w:r>
        <w:rPr>
          <w:rFonts w:ascii="Times New Roman" w:cs="Times New Roman" w:eastAsia="Times New Roman" w:hAnsi="Times New Roman"/>
          <w:sz w:val="18"/>
          <w:szCs w:val="18"/>
          <w:u w:val="single" w:color="auto"/>
          <w:color w:val="auto"/>
        </w:rPr>
        <w:t>FBG Prepetition Notes Documents</w:t>
      </w:r>
      <w:r>
        <w:rPr>
          <w:rFonts w:ascii="Times New Roman" w:cs="Times New Roman" w:eastAsia="Times New Roman" w:hAnsi="Times New Roman"/>
          <w:sz w:val="18"/>
          <w:szCs w:val="18"/>
          <w:color w:val="auto"/>
        </w:rPr>
        <w:t>”, and all obligations of every nature under the FBG Prepetition Indentures, the “</w:t>
      </w:r>
      <w:r>
        <w:rPr>
          <w:rFonts w:ascii="Times New Roman" w:cs="Times New Roman" w:eastAsia="Times New Roman" w:hAnsi="Times New Roman"/>
          <w:sz w:val="18"/>
          <w:szCs w:val="18"/>
          <w:u w:val="single" w:color="auto"/>
          <w:color w:val="auto"/>
        </w:rPr>
        <w:t>FBG Prepetition Secured Obligations</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WHEREAS, prior to the Petition Date, the Twin DIP Borrower is party to that certain Base Indenture dated as of November 21, 2024, as supplemented by the Series 2024-1 Supplement thereto, dated as of November 21, 2024 as further amended, restated, amended and restated, modified, or supplemented prior to the date hereof, the “</w:t>
      </w:r>
      <w:r>
        <w:rPr>
          <w:rFonts w:ascii="Times New Roman" w:cs="Times New Roman" w:eastAsia="Times New Roman" w:hAnsi="Times New Roman"/>
          <w:sz w:val="18"/>
          <w:szCs w:val="18"/>
          <w:u w:val="single" w:color="auto"/>
          <w:color w:val="auto"/>
        </w:rPr>
        <w:t>Twin Prepetition Indenture</w:t>
      </w:r>
      <w:r>
        <w:rPr>
          <w:rFonts w:ascii="Times New Roman" w:cs="Times New Roman" w:eastAsia="Times New Roman" w:hAnsi="Times New Roman"/>
          <w:sz w:val="18"/>
          <w:szCs w:val="18"/>
          <w:color w:val="auto"/>
        </w:rPr>
        <w:t>”), among the Twin DIP Borrower and UMB Bank, N.A. as trustee (in such capacity under the Twin Prepetition Indenture, the “</w:t>
      </w:r>
      <w:r>
        <w:rPr>
          <w:rFonts w:ascii="Times New Roman" w:cs="Times New Roman" w:eastAsia="Times New Roman" w:hAnsi="Times New Roman"/>
          <w:sz w:val="18"/>
          <w:szCs w:val="18"/>
          <w:u w:val="single" w:color="auto"/>
          <w:color w:val="auto"/>
        </w:rPr>
        <w:t>Twin Prepetition Notes Trustee</w:t>
      </w:r>
      <w:r>
        <w:rPr>
          <w:rFonts w:ascii="Times New Roman" w:cs="Times New Roman" w:eastAsia="Times New Roman" w:hAnsi="Times New Roman"/>
          <w:sz w:val="18"/>
          <w:szCs w:val="18"/>
          <w:color w:val="auto"/>
        </w:rPr>
        <w:t>”) and securities intermediary, pursuant to which the Twin DIP Borrower on November 21, 2024, issued, among other things, $12,124,000 in aggregate principal amount of Series 2024-1 Class A-2-I super senior secured notes (the “</w:t>
      </w:r>
      <w:r>
        <w:rPr>
          <w:rFonts w:ascii="Times New Roman" w:cs="Times New Roman" w:eastAsia="Times New Roman" w:hAnsi="Times New Roman"/>
          <w:sz w:val="18"/>
          <w:szCs w:val="18"/>
          <w:u w:val="single" w:color="auto"/>
          <w:color w:val="auto"/>
        </w:rPr>
        <w:t>Twin Class A-2-I Notes</w:t>
      </w:r>
      <w:r>
        <w:rPr>
          <w:rFonts w:ascii="Times New Roman" w:cs="Times New Roman" w:eastAsia="Times New Roman" w:hAnsi="Times New Roman"/>
          <w:sz w:val="18"/>
          <w:szCs w:val="18"/>
          <w:color w:val="auto"/>
        </w:rPr>
        <w:t>”) and $269,257,000 in aggregate principal amount of Series 2024-1 Class A-2-II senior secured notes (the “</w:t>
      </w:r>
      <w:r>
        <w:rPr>
          <w:rFonts w:ascii="Times New Roman" w:cs="Times New Roman" w:eastAsia="Times New Roman" w:hAnsi="Times New Roman"/>
          <w:sz w:val="18"/>
          <w:szCs w:val="18"/>
          <w:u w:val="single" w:color="auto"/>
          <w:color w:val="auto"/>
        </w:rPr>
        <w:t>Twin Class A-2-II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each with an interest rate of 9.00% and a maturity date of October 26, 2054 (collectively, the “</w:t>
      </w:r>
      <w:r>
        <w:rPr>
          <w:rFonts w:ascii="Times New Roman" w:cs="Times New Roman" w:eastAsia="Times New Roman" w:hAnsi="Times New Roman"/>
          <w:sz w:val="18"/>
          <w:szCs w:val="18"/>
          <w:u w:val="single" w:color="auto"/>
          <w:color w:val="auto"/>
        </w:rPr>
        <w:t>Twin Prepetition Notes</w:t>
      </w:r>
      <w:r>
        <w:rPr>
          <w:rFonts w:ascii="Times New Roman" w:cs="Times New Roman" w:eastAsia="Times New Roman" w:hAnsi="Times New Roman"/>
          <w:sz w:val="18"/>
          <w:szCs w:val="18"/>
          <w:color w:val="auto"/>
        </w:rPr>
        <w:t>”). The Twin Prepetition Indenture and all other agreements, guarantees, pledges, collateral and security documents, management agreements, control agreements, instruments, certificates, notes and other documents executed, recorded and/or delivered in connection therewith, including without limitation the “Indenture Documents” (as defined in the Twin Prepetition Indenture), shall collectively be referred to as the “</w:t>
      </w:r>
      <w:r>
        <w:rPr>
          <w:rFonts w:ascii="Times New Roman" w:cs="Times New Roman" w:eastAsia="Times New Roman" w:hAnsi="Times New Roman"/>
          <w:sz w:val="18"/>
          <w:szCs w:val="18"/>
          <w:u w:val="single" w:color="auto"/>
          <w:color w:val="auto"/>
        </w:rPr>
        <w:t>Twin Prepetition Notes Documents</w:t>
      </w:r>
      <w:r>
        <w:rPr>
          <w:rFonts w:ascii="Times New Roman" w:cs="Times New Roman" w:eastAsia="Times New Roman" w:hAnsi="Times New Roman"/>
          <w:sz w:val="18"/>
          <w:szCs w:val="18"/>
          <w:color w:val="auto"/>
        </w:rPr>
        <w:t>”, and all obligations of every nature under the Twin Prepetition Indenture, the “</w:t>
      </w:r>
      <w:r>
        <w:rPr>
          <w:rFonts w:ascii="Times New Roman" w:cs="Times New Roman" w:eastAsia="Times New Roman" w:hAnsi="Times New Roman"/>
          <w:sz w:val="18"/>
          <w:szCs w:val="18"/>
          <w:u w:val="single" w:color="auto"/>
          <w:color w:val="auto"/>
        </w:rPr>
        <w:t>Twin Prepetition Secured Obligations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WHEREAS, (a) the FBG DIP Borrowers have requested that the FBG DIP Lenders (as defined below) make available a multiple draw secured term loan facility in an aggregate principal amount of up to $184,560,000, pursuant to which the FBG DIP Lenders will provide (i) a “new money” facility in an aggregate principal amount of up to $46,140,000 (the “</w:t>
      </w:r>
      <w:r>
        <w:rPr>
          <w:rFonts w:ascii="Times New Roman" w:cs="Times New Roman" w:eastAsia="Times New Roman" w:hAnsi="Times New Roman"/>
          <w:sz w:val="18"/>
          <w:szCs w:val="18"/>
          <w:u w:val="single" w:color="auto"/>
          <w:color w:val="auto"/>
        </w:rPr>
        <w:t>FBG New Money Term Facility</w:t>
      </w:r>
      <w:r>
        <w:rPr>
          <w:rFonts w:ascii="Times New Roman" w:cs="Times New Roman" w:eastAsia="Times New Roman" w:hAnsi="Times New Roman"/>
          <w:sz w:val="18"/>
          <w:szCs w:val="18"/>
          <w:color w:val="auto"/>
        </w:rPr>
        <w:t>”; and the loans thereunder the “</w:t>
      </w:r>
      <w:r>
        <w:rPr>
          <w:rFonts w:ascii="Times New Roman" w:cs="Times New Roman" w:eastAsia="Times New Roman" w:hAnsi="Times New Roman"/>
          <w:sz w:val="18"/>
          <w:szCs w:val="18"/>
          <w:u w:val="single" w:color="auto"/>
          <w:color w:val="auto"/>
        </w:rPr>
        <w:t>FBG New Money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 and (ii) a roll-up facility in an aggregate principal amount of up to $138,420,000, representing a roll-up of FBG Class A-2 Prepetition Notes on a three dollars to one dollar basis of the FBG Commitments hereunder made pursuant to the FBG Prepetition Notes Documents (the “</w:t>
      </w:r>
      <w:r>
        <w:rPr>
          <w:rFonts w:ascii="Times New Roman" w:cs="Times New Roman" w:eastAsia="Times New Roman" w:hAnsi="Times New Roman"/>
          <w:sz w:val="18"/>
          <w:szCs w:val="18"/>
          <w:u w:val="single" w:color="auto"/>
          <w:color w:val="auto"/>
        </w:rPr>
        <w:t>FBG Roll-Up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(clause (ii) hereof, the “</w:t>
      </w:r>
      <w:r>
        <w:rPr>
          <w:rFonts w:ascii="Times New Roman" w:cs="Times New Roman" w:eastAsia="Times New Roman" w:hAnsi="Times New Roman"/>
          <w:sz w:val="18"/>
          <w:szCs w:val="18"/>
          <w:u w:val="single" w:color="auto"/>
          <w:color w:val="auto"/>
        </w:rPr>
        <w:t>FBG Roll-Up DIP Facility</w:t>
      </w:r>
      <w:r>
        <w:rPr>
          <w:rFonts w:ascii="Times New Roman" w:cs="Times New Roman" w:eastAsia="Times New Roman" w:hAnsi="Times New Roman"/>
          <w:sz w:val="18"/>
          <w:szCs w:val="18"/>
          <w:color w:val="auto"/>
        </w:rPr>
        <w:t>” and together with the FBG New Money Term Facility, the “</w:t>
      </w:r>
      <w:r>
        <w:rPr>
          <w:rFonts w:ascii="Times New Roman" w:cs="Times New Roman" w:eastAsia="Times New Roman" w:hAnsi="Times New Roman"/>
          <w:sz w:val="18"/>
          <w:szCs w:val="18"/>
          <w:u w:val="single" w:color="auto"/>
          <w:color w:val="auto"/>
        </w:rPr>
        <w:t>FBG DIP Facility</w:t>
      </w:r>
      <w:r>
        <w:rPr>
          <w:rFonts w:ascii="Times New Roman" w:cs="Times New Roman" w:eastAsia="Times New Roman" w:hAnsi="Times New Roman"/>
          <w:sz w:val="18"/>
          <w:szCs w:val="18"/>
          <w:color w:val="auto"/>
        </w:rPr>
        <w:t>”); and (b) the Twin DIP Borrower has requested that the Twin DIP Lenders (as defined below) make available a multiple draw secured term loan facility in an aggregate principal amount of up to $123,040,000, pursuant to which the Twin DIP Lenders will provide (i) a “new money” facility in an aggregate principal amount of up to $30,760,000 (the “</w:t>
      </w:r>
      <w:r>
        <w:rPr>
          <w:rFonts w:ascii="Times New Roman" w:cs="Times New Roman" w:eastAsia="Times New Roman" w:hAnsi="Times New Roman"/>
          <w:sz w:val="18"/>
          <w:szCs w:val="18"/>
          <w:u w:val="single" w:color="auto"/>
          <w:color w:val="auto"/>
        </w:rPr>
        <w:t>Twin New Money Term Facility</w:t>
      </w:r>
      <w:r>
        <w:rPr>
          <w:rFonts w:ascii="Times New Roman" w:cs="Times New Roman" w:eastAsia="Times New Roman" w:hAnsi="Times New Roman"/>
          <w:sz w:val="18"/>
          <w:szCs w:val="18"/>
          <w:color w:val="auto"/>
        </w:rPr>
        <w:t>” and the loans thereunder the “</w:t>
      </w:r>
      <w:r>
        <w:rPr>
          <w:rFonts w:ascii="Times New Roman" w:cs="Times New Roman" w:eastAsia="Times New Roman" w:hAnsi="Times New Roman"/>
          <w:sz w:val="18"/>
          <w:szCs w:val="18"/>
          <w:u w:val="single" w:color="auto"/>
          <w:color w:val="auto"/>
        </w:rPr>
        <w:t>Twin New Money Term Loans</w:t>
      </w:r>
      <w:r>
        <w:rPr>
          <w:rFonts w:ascii="Times New Roman" w:cs="Times New Roman" w:eastAsia="Times New Roman" w:hAnsi="Times New Roman"/>
          <w:sz w:val="18"/>
          <w:szCs w:val="18"/>
          <w:color w:val="auto"/>
        </w:rPr>
        <w:t>”) and (ii) (A) a roll-up facility in an aggregate principal amount of up to $12,684,907.88, representing a roll-up of the Twin Class A-2-I Notes on a three dollars to one dollar basis of the Twin Commitments hereunder made pursuant to the Twin Prepetition Notes Documents (the “</w:t>
      </w:r>
      <w:r>
        <w:rPr>
          <w:rFonts w:ascii="Times New Roman" w:cs="Times New Roman" w:eastAsia="Times New Roman" w:hAnsi="Times New Roman"/>
          <w:sz w:val="18"/>
          <w:szCs w:val="18"/>
          <w:u w:val="single" w:color="auto"/>
          <w:color w:val="auto"/>
        </w:rPr>
        <w:t>Twin Senior Roll-Up Financing</w:t>
      </w:r>
      <w:r>
        <w:rPr>
          <w:rFonts w:ascii="Times New Roman" w:cs="Times New Roman" w:eastAsia="Times New Roman" w:hAnsi="Times New Roman"/>
          <w:sz w:val="18"/>
          <w:szCs w:val="18"/>
          <w:color w:val="auto"/>
        </w:rPr>
        <w:t>”) and (B) a roll-up facility in an aggregate principal amount of up to $79,595,092.12, representing a roll-up of the Twin Class A-2-II Notes on a three dollars to one dollar basis of the Twin Commitments hereunder made pursuant to the Twin Prepetition Notes Documents (the “</w:t>
      </w:r>
      <w:r>
        <w:rPr>
          <w:rFonts w:ascii="Times New Roman" w:cs="Times New Roman" w:eastAsia="Times New Roman" w:hAnsi="Times New Roman"/>
          <w:sz w:val="18"/>
          <w:szCs w:val="18"/>
          <w:u w:val="single" w:color="auto"/>
          <w:color w:val="auto"/>
        </w:rPr>
        <w:t>Twin Junior Roll-Up Financing</w:t>
      </w:r>
      <w:r>
        <w:rPr>
          <w:rFonts w:ascii="Times New Roman" w:cs="Times New Roman" w:eastAsia="Times New Roman" w:hAnsi="Times New Roman"/>
          <w:sz w:val="18"/>
          <w:szCs w:val="18"/>
          <w:color w:val="auto"/>
        </w:rPr>
        <w:t>” and together with the Twin Senior Roll-Up Financing, the “</w:t>
      </w:r>
      <w:r>
        <w:rPr>
          <w:rFonts w:ascii="Times New Roman" w:cs="Times New Roman" w:eastAsia="Times New Roman" w:hAnsi="Times New Roman"/>
          <w:sz w:val="18"/>
          <w:szCs w:val="18"/>
          <w:u w:val="single" w:color="auto"/>
          <w:color w:val="auto"/>
        </w:rPr>
        <w:t>Twin Roll-Up Financing</w:t>
      </w:r>
      <w:r>
        <w:rPr>
          <w:rFonts w:ascii="Times New Roman" w:cs="Times New Roman" w:eastAsia="Times New Roman" w:hAnsi="Times New Roman"/>
          <w:sz w:val="18"/>
          <w:szCs w:val="18"/>
          <w:color w:val="auto"/>
        </w:rPr>
        <w:t>”) (clause (ii) hereof, the “</w:t>
      </w:r>
      <w:r>
        <w:rPr>
          <w:rFonts w:ascii="Times New Roman" w:cs="Times New Roman" w:eastAsia="Times New Roman" w:hAnsi="Times New Roman"/>
          <w:sz w:val="18"/>
          <w:szCs w:val="18"/>
          <w:u w:val="single" w:color="auto"/>
          <w:color w:val="auto"/>
        </w:rPr>
        <w:t>Twin Roll-Up DIP Facility</w:t>
      </w:r>
      <w:r>
        <w:rPr>
          <w:rFonts w:ascii="Times New Roman" w:cs="Times New Roman" w:eastAsia="Times New Roman" w:hAnsi="Times New Roman"/>
          <w:sz w:val="18"/>
          <w:szCs w:val="18"/>
          <w:color w:val="auto"/>
        </w:rPr>
        <w:t>” and together with the Twin New Money Term Facility, the “</w:t>
      </w:r>
      <w:r>
        <w:rPr>
          <w:rFonts w:ascii="Times New Roman" w:cs="Times New Roman" w:eastAsia="Times New Roman" w:hAnsi="Times New Roman"/>
          <w:sz w:val="18"/>
          <w:szCs w:val="18"/>
          <w:u w:val="single" w:color="auto"/>
          <w:color w:val="auto"/>
        </w:rPr>
        <w:t>Twin DIP Facility</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WHEREAS, the DIP Lenders have agreed to provide the DIP Facility, the proceeds of which shall be used, in each case in accordance with the Approved Budget and subject to the DIP Loan Documents, the DIP Orders and the Stipulated Allocation, to fund (a) necessary operating and working capital expenses of the Loan Parties to fulfill franchisee obligations; (b) the Borrowers’ post-petition administrative expenses required to effectuate an Acceptable Sale Transaction (as defined below); (c) obligations arising under the Carve-Out; (d) the agency fees and reasonable fees and expenses of the DIP Agent and the DIP Lenders owed under the DIP Loan Documents; (e) any Prepetition Secured Obligations of the Loan Parties pursuant to any First Day Order or Final Order approved by the DIP Agent (at the written direction of the Required Lenders); (f) to the extent necessary, to make intercompany loans from one Loan Party to another Loan Party, which shall be secured by liens senior to the DIP Liens; (g) to make payments under the Governance Agreement; and (h) to fund the expenses of the Parent and the Twin Manager and to pay the Management Fees.</w:t>
      </w:r>
    </w:p>
    <w:p>
      <w:pPr>
        <w:spacing w:after="0" w:line="19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each Borrower, the Parent and the Twin Manager acknowledges that they each will receive substantial direct and indirect benefits by reason of the making of loans and other financial accommodations to the Borrowers as provided in this Agreement;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conditions set forth below, the parties hereto, intending to be legally bound,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Sale Process</w:t>
      </w:r>
      <w:r>
        <w:rPr>
          <w:rFonts w:ascii="Times New Roman" w:cs="Times New Roman" w:eastAsia="Times New Roman" w:hAnsi="Times New Roman"/>
          <w:sz w:val="18"/>
          <w:szCs w:val="18"/>
          <w:color w:val="auto"/>
        </w:rPr>
        <w:t>” means one or more processes to be conducted by the Debtors pursuant to section 363 of the Bankruptcy Code to sell, in one or more sale transactions, all or substantially all of their assets, including the filing by the Debtors of the Bidding Procedures Motion and in accordance with the Bidding Procedures.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Sale Transaction</w:t>
      </w:r>
      <w:r>
        <w:rPr>
          <w:rFonts w:ascii="Times New Roman" w:cs="Times New Roman" w:eastAsia="Times New Roman" w:hAnsi="Times New Roman"/>
          <w:sz w:val="18"/>
          <w:szCs w:val="18"/>
          <w:color w:val="auto"/>
        </w:rPr>
        <w:t>” means a sale, in one or more sale transactions, of all or substantially all of the Debtors’ assets pursuant to section 363 of the Bankruptcy Code that either (i) results in the simultaneous payment in full in cash of all Obligations and Prepetition Secured Obligations or (ii) is otherwise acceptable to the Required Lenders.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Actual Cash Receipts</w:t>
      </w:r>
      <w:r>
        <w:rPr>
          <w:rFonts w:ascii="Times New Roman" w:cs="Times New Roman" w:eastAsia="Times New Roman" w:hAnsi="Times New Roman"/>
          <w:sz w:val="18"/>
          <w:szCs w:val="18"/>
          <w:color w:val="auto"/>
        </w:rPr>
        <w:t>” means with respect to any period, the amount of actual cash receipts during such period of the Loan Parties (excluding any borrowings under this Agreement) that correspond to each line item (on a line item by line item basis) under the heading “Total Receipts” in the Approved Budget, as determined by reference to the Approved Budget as then in effect.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Actual Disbursement Amounts</w:t>
      </w:r>
      <w:r>
        <w:rPr>
          <w:rFonts w:ascii="Times New Roman" w:cs="Times New Roman" w:eastAsia="Times New Roman" w:hAnsi="Times New Roman"/>
          <w:sz w:val="18"/>
          <w:szCs w:val="18"/>
          <w:color w:val="auto"/>
        </w:rPr>
        <w:t>” means, with respect to any period, the amount of actual disbursements made by the Loan Parties during such period that correspond to (i) each line item (on a line item by line item basis) under the headings “Total Operating Disbursements” and “Non-Operating/Non Recurring Cash Flow” and (ii) the line item “Bankruptcy-Related Professional Fees” under the heading “Bankruptcy-Related Disbursements” in the Approved Budget, as determined by reference to the Approved Budget as then in effect.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 Hoc Group</w:t>
      </w:r>
      <w:r>
        <w:rPr>
          <w:rFonts w:ascii="Times New Roman" w:cs="Times New Roman" w:eastAsia="Times New Roman" w:hAnsi="Times New Roman"/>
          <w:sz w:val="18"/>
          <w:szCs w:val="18"/>
          <w:color w:val="auto"/>
        </w:rPr>
        <w:t>” means that certain ad hoc group of holders of FBG Prepetition Notes and Twin Prepetition Notes represented by White &amp; Case LLP and the Specified Financial Advisor.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the Administrative Questionnaire completed by each Lender and delivered to the DIP Agent in a form supplied by the DIP Agent to the DIP Lenders from time to time.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Person has the meaning set forth in section 101(2) of the Bankruptcy Code and also includes any other Person that directly or indirectly, through one or more intermediaries, controls, is controlled by, or is under common control with, such Person. For the purposes of this definition,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Affiliated Person</w:t>
      </w:r>
      <w:r>
        <w:rPr>
          <w:rFonts w:ascii="Times New Roman" w:cs="Times New Roman" w:eastAsia="Times New Roman" w:hAnsi="Times New Roman"/>
          <w:sz w:val="18"/>
          <w:szCs w:val="18"/>
          <w:color w:val="auto"/>
        </w:rPr>
        <w:t>” means a person that is an “affiliated person,” as such term is defined in section 2(a)(3) of the Investment Company Act of 1940, as amended, or an affiliated person of any such person.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Fee Letter</w:t>
      </w:r>
      <w:r>
        <w:rPr>
          <w:rFonts w:ascii="Times New Roman" w:cs="Times New Roman" w:eastAsia="Times New Roman" w:hAnsi="Times New Roman"/>
          <w:sz w:val="18"/>
          <w:szCs w:val="18"/>
          <w:color w:val="auto"/>
        </w:rPr>
        <w:t>” means that certain request for proposal of the DIP Agent, dated as of March 16, 2026 and accepted on behalf of the Borrowers on March 18, 2026, as may be amended, amended and restated, replaced, supplemented or otherwise modified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provided in the first paragraph of this Agreement.</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Rate</w:t>
      </w:r>
      <w:r>
        <w:rPr>
          <w:rFonts w:ascii="Times New Roman" w:cs="Times New Roman" w:eastAsia="Times New Roman" w:hAnsi="Times New Roman"/>
          <w:sz w:val="18"/>
          <w:szCs w:val="18"/>
          <w:color w:val="auto"/>
        </w:rPr>
        <w:t xml:space="preserve">” means 12.00%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Budget</w:t>
      </w:r>
      <w:r>
        <w:rPr>
          <w:rFonts w:ascii="Times New Roman" w:cs="Times New Roman" w:eastAsia="Times New Roman" w:hAnsi="Times New Roman"/>
          <w:sz w:val="18"/>
          <w:szCs w:val="18"/>
          <w:color w:val="auto"/>
        </w:rPr>
        <w:t>” means the Budget prepared by the Debtors and delivered, and approved by, the Required Lenders on or prior to the Closing Date in connection with transactions contemplated hereby, as updated, modified or supplemented from time to time by the Debtors and approved by the Required Lenders as provided in Section 5(a).</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Auction</w:t>
      </w:r>
      <w:r>
        <w:rPr>
          <w:rFonts w:ascii="Times New Roman" w:cs="Times New Roman" w:eastAsia="Times New Roman" w:hAnsi="Times New Roman"/>
          <w:sz w:val="18"/>
          <w:szCs w:val="18"/>
          <w:color w:val="auto"/>
        </w:rPr>
        <w:t>” means an auction in accordance with an Acceptable Sale Process.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Avoidance Actions</w:t>
      </w:r>
      <w:r>
        <w:rPr>
          <w:rFonts w:ascii="Times New Roman" w:cs="Times New Roman" w:eastAsia="Times New Roman" w:hAnsi="Times New Roman"/>
          <w:sz w:val="18"/>
          <w:szCs w:val="18"/>
          <w:color w:val="auto"/>
        </w:rPr>
        <w:t>” has the meaning assigned to such term in the DIP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Court</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Deadline</w:t>
      </w:r>
      <w:r>
        <w:rPr>
          <w:rFonts w:ascii="Times New Roman" w:cs="Times New Roman" w:eastAsia="Times New Roman" w:hAnsi="Times New Roman"/>
          <w:sz w:val="18"/>
          <w:szCs w:val="18"/>
          <w:color w:val="auto"/>
        </w:rPr>
        <w:t xml:space="preserve">” has the meaning provided in </w:t>
      </w:r>
      <w:r>
        <w:rPr>
          <w:rFonts w:ascii="Times New Roman" w:cs="Times New Roman" w:eastAsia="Times New Roman" w:hAnsi="Times New Roman"/>
          <w:sz w:val="18"/>
          <w:szCs w:val="18"/>
          <w:u w:val="single" w:color="auto"/>
          <w:color w:val="auto"/>
        </w:rPr>
        <w:t>Schedule 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w:t>
      </w:r>
      <w:r>
        <w:rPr>
          <w:rFonts w:ascii="Times New Roman" w:cs="Times New Roman" w:eastAsia="Times New Roman" w:hAnsi="Times New Roman"/>
          <w:sz w:val="18"/>
          <w:szCs w:val="18"/>
          <w:color w:val="auto"/>
        </w:rPr>
        <w:t>” means bidding procedures in accordance with an Acceptable Sale Process in form and substance reasonably acceptable to the Required Lenders, which shall comply with the Milestones.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 Motion</w:t>
      </w:r>
      <w:r>
        <w:rPr>
          <w:rFonts w:ascii="Times New Roman" w:cs="Times New Roman" w:eastAsia="Times New Roman" w:hAnsi="Times New Roman"/>
          <w:sz w:val="18"/>
          <w:szCs w:val="18"/>
          <w:color w:val="auto"/>
        </w:rPr>
        <w:t>” means the motion filed with the Bankruptcy Court filed at Docket No. 420 in form and substance reasonably acceptable to the Required Lenders seeking approval, among other things, to (a) implement the Bidding Procedures in connection with any sale of DIP Collateral or related assets and (b) consummate an Acceptable Sale Transaction in accordance with the Bidding Procedures.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Bidding Procedures Order</w:t>
      </w:r>
      <w:r>
        <w:rPr>
          <w:rFonts w:ascii="Times New Roman" w:cs="Times New Roman" w:eastAsia="Times New Roman" w:hAnsi="Times New Roman"/>
          <w:sz w:val="18"/>
          <w:szCs w:val="18"/>
          <w:color w:val="auto"/>
        </w:rPr>
        <w:t>” means a Final Order of the Bankruptcy Court in the Chapter 11 Cases, in form and substance acceptable to the Required Lenders, approving the Bidding Procedures Motion, as the same may be amended, restated, supplemented or otherwise modified from time to time with the express written consent of the Required Lenders, which shall (among other things) deem any bid submitted by any of the Secured Parties or the Prepetition Secured Parties as a qualifying bid.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has the meaning provided in the first paragraph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w:t>
      </w:r>
      <w:r>
        <w:rPr>
          <w:rFonts w:ascii="Times New Roman" w:cs="Times New Roman" w:eastAsia="Times New Roman" w:hAnsi="Times New Roman"/>
          <w:sz w:val="18"/>
          <w:szCs w:val="18"/>
          <w:color w:val="auto"/>
        </w:rPr>
        <w:t>” means a borrowing of the DIP Loans.</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means, as the context may require, the Closing Date, the Second Borrowing Date and the Third Borrowing Date.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Budget</w:t>
      </w:r>
      <w:r>
        <w:rPr>
          <w:rFonts w:ascii="Times New Roman" w:cs="Times New Roman" w:eastAsia="Times New Roman" w:hAnsi="Times New Roman"/>
          <w:sz w:val="18"/>
          <w:szCs w:val="18"/>
          <w:color w:val="auto"/>
        </w:rPr>
        <w:t>” has the meaning provided in Section 5(a).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Budgeted Cash Receipts</w:t>
      </w:r>
      <w:r>
        <w:rPr>
          <w:rFonts w:ascii="Times New Roman" w:cs="Times New Roman" w:eastAsia="Times New Roman" w:hAnsi="Times New Roman"/>
          <w:sz w:val="18"/>
          <w:szCs w:val="18"/>
          <w:color w:val="auto"/>
        </w:rPr>
        <w:t>” means, with respect to any period, the amount of projected cash receipts (including from non-ordinary course asset sales) during such period of the Loan Parties on a consolidated basis that corresponds to the line item under the heading “Total Receipts” in the Approved Budget, in each case, as determined by reference to the Approved Budget as then in effect.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Budgeted Disbursement Amounts</w:t>
      </w:r>
      <w:r>
        <w:rPr>
          <w:rFonts w:ascii="Times New Roman" w:cs="Times New Roman" w:eastAsia="Times New Roman" w:hAnsi="Times New Roman"/>
          <w:sz w:val="18"/>
          <w:szCs w:val="18"/>
          <w:color w:val="auto"/>
        </w:rPr>
        <w:t>” means, with respect to any period, the amount of projected disbursements during such period of the Loan Parties on a consolidated basis that corresponds to: (i) each line item (on a line item by line item basis) under the headings “Total Operating Disbursements” and “Non-Operating/ Non Recurring Cash Flow” and (ii) the line item “Bankruptcy-Related Professional Fees” under the heading “Bankruptcy-Related Disbursements” in the Approved Budget, as determined by reference to the Approved Budget as then in effect.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any day that is a legal holiday in New York, New York, or a day on which banking institutions in New York, New York are authorized or required by law or other government action to close.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with respect to any Person, any lease of any property (whether real, Personal or mixed) by that Person as lessee that, in conformity with GAAP, is accounted for as a capital lease on the balance sheet of that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Carve-Out</w:t>
      </w:r>
      <w:r>
        <w:rPr>
          <w:rFonts w:ascii="Times New Roman" w:cs="Times New Roman" w:eastAsia="Times New Roman" w:hAnsi="Times New Roman"/>
          <w:sz w:val="18"/>
          <w:szCs w:val="18"/>
          <w:color w:val="auto"/>
        </w:rPr>
        <w:t>” has the meaning provided in the DIP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has the meaning set forth in section 363(a) of the Bankruptcy Code and includes the proceeds of DIP Loans.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has the meaning assigned to the term “change of control” or “change in control” or equivalent in the Prepetition Notes Documents and in any other material Indebtedness for borrowed money of the Loan Parties.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Chapter 11 Cases</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conditions precedent in Section 4(a) below shall have been met.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means, collectively, the FBG Commitments and the Twin Commitments.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means the period commencing on the Closing Date and ending on the date that is the earliest of (a) (x) five (5) Business Days prior to clause (a) of the Maturity Date and (y) the date or time set forth in any other clause under the definition of Maturity Date and (b) the date the Commitments have been reduced to $0 (by utilization thereof, reduction thereof or acceleration thereof, or otherwise).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Bid</w:t>
      </w:r>
      <w:r>
        <w:rPr>
          <w:rFonts w:ascii="Times New Roman" w:cs="Times New Roman" w:eastAsia="Times New Roman" w:hAnsi="Times New Roman"/>
          <w:sz w:val="18"/>
          <w:szCs w:val="18"/>
          <w:color w:val="auto"/>
        </w:rPr>
        <w:t>” means any credit bid by any DIP Lender in respect of the Obligations, pursuant to section 363(k) of the Bankruptcy Code, the Bidding Procedures, or otherwise.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w:t>
      </w:r>
      <w:r>
        <w:rPr>
          <w:rFonts w:ascii="Times New Roman" w:cs="Times New Roman" w:eastAsia="Times New Roman" w:hAnsi="Times New Roman"/>
          <w:sz w:val="18"/>
          <w:szCs w:val="18"/>
          <w:color w:val="auto"/>
        </w:rPr>
        <w:t>” means John C. DiDonato, in his capacity as Chief Restructuring Officer of each of the Debtors and/or Abhimanyu Gupta, in his capacity as Deputy Chief Restructuring Officer of each of the Debtors.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Debtors</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act or condition which with notice or lapse of time, or both, would constitute an Event of Default.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means, with respect to overdue principal on outstanding DIP Loans, the applicable interest rate plus 2.00% per annum, and with respect to any other overdue amount (including overdue interest), the interest rate applicable to the DIP Loans plus 2.00% per annum, which, in each case, shall be payable on demand.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Agent</w:t>
      </w:r>
      <w:r>
        <w:rPr>
          <w:rFonts w:ascii="Times New Roman" w:cs="Times New Roman" w:eastAsia="Times New Roman" w:hAnsi="Times New Roman"/>
          <w:sz w:val="18"/>
          <w:szCs w:val="18"/>
          <w:color w:val="auto"/>
        </w:rPr>
        <w:t>” has the meaning specified in the first paragraph of this Agreement and shall include any successor DIP Agent appointed in accordance with the terms of this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Collateral</w:t>
      </w:r>
      <w:r>
        <w:rPr>
          <w:rFonts w:ascii="Times New Roman" w:cs="Times New Roman" w:eastAsia="Times New Roman" w:hAnsi="Times New Roman"/>
          <w:sz w:val="18"/>
          <w:szCs w:val="18"/>
          <w:color w:val="auto"/>
        </w:rPr>
        <w:t>” means all assets and property of each Loan Party, now owned or hereafter acquired, which is subject to the Liens granted by such Loan Party (or intended to be subject to Liens granted by such Loan Party) that secures the Obligations pursuant to the DIP Order and Section 10(a) hereof, and shall include without limitation all “DIP Collateral” as such term is defined in the DIP Order. Notwithstanding the foregoing or anything to the contrary in any Loan Document, in no event shall any Excluded Asset constitute DIP Collateral.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Facility</w:t>
      </w:r>
      <w:r>
        <w:rPr>
          <w:rFonts w:ascii="Times New Roman" w:cs="Times New Roman" w:eastAsia="Times New Roman" w:hAnsi="Times New Roman"/>
          <w:sz w:val="18"/>
          <w:szCs w:val="18"/>
          <w:color w:val="auto"/>
        </w:rPr>
        <w:t>” means, collectively, the FBG DIP Facility and the Twin DIP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Lenders</w:t>
      </w:r>
      <w:r>
        <w:rPr>
          <w:rFonts w:ascii="Times New Roman" w:cs="Times New Roman" w:eastAsia="Times New Roman" w:hAnsi="Times New Roman"/>
          <w:sz w:val="18"/>
          <w:szCs w:val="18"/>
          <w:color w:val="auto"/>
        </w:rPr>
        <w:t>” means, collectively, the FBG DIP Lenders and the Twin DIP Lenders.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Liens</w:t>
      </w:r>
      <w:r>
        <w:rPr>
          <w:rFonts w:ascii="Times New Roman" w:cs="Times New Roman" w:eastAsia="Times New Roman" w:hAnsi="Times New Roman"/>
          <w:sz w:val="18"/>
          <w:szCs w:val="18"/>
          <w:color w:val="auto"/>
        </w:rPr>
        <w:t>” has the meaning provided in Section 10(a) below.</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Loan</w:t>
      </w:r>
      <w:r>
        <w:rPr>
          <w:rFonts w:ascii="Times New Roman" w:cs="Times New Roman" w:eastAsia="Times New Roman" w:hAnsi="Times New Roman"/>
          <w:sz w:val="18"/>
          <w:szCs w:val="18"/>
          <w:color w:val="auto"/>
        </w:rPr>
        <w:t>” means an extension of credit by any DIP Lender to the applicable Borrowers under Section 2, which shall include (a) the FBG New Money Term Loans, (b) the Twin New Money Term Loans and (c) following the Roll-Up Effective Time, the deemed extensions of credit under Section 2(f) in the form of Roll-Up Loans.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Loan Documents</w:t>
      </w:r>
      <w:r>
        <w:rPr>
          <w:rFonts w:ascii="Times New Roman" w:cs="Times New Roman" w:eastAsia="Times New Roman" w:hAnsi="Times New Roman"/>
          <w:sz w:val="18"/>
          <w:szCs w:val="18"/>
          <w:color w:val="auto"/>
        </w:rPr>
        <w:t>” means this Agreement, each Guaranty, each Segregated Account Control Agreement and all notes, guaranties, security agreements, mortgages, certificates, landlord’s agreements, lock box and blocked account agreements, the DIP Order, the Approved Budget, the Agent Fee Letter, the Houlihan Engagement Letter and all other agreements, documents and instruments now or hereafter executed or delivered by any Borrower or any other Loan Party in connection with, or to evidence the transactions contemplated by, this Agreement and/or the credit extended hereunder, in each case, as amended, restated, supplemented or otherwise modified from time to time.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DIP Order</w:t>
      </w:r>
      <w:r>
        <w:rPr>
          <w:rFonts w:ascii="Times New Roman" w:cs="Times New Roman" w:eastAsia="Times New Roman" w:hAnsi="Times New Roman"/>
          <w:sz w:val="18"/>
          <w:szCs w:val="18"/>
          <w:color w:val="auto"/>
        </w:rPr>
        <w:t>” means the Interim DIP Order or the Final DIP Order, as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means (a) the sale, conveyance, transfer, license, lease or other disposition, whether in a single transaction or a series of related transactions, of property or assets (including by way of a sale and leaseback transaction) of the Loan Parties (in each case, other than qualified capital stock of the Borrowers)or (b) the issuance or sale of capital stock of any Loan Party, whether in a single transaction or a series of related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 Dollars</w:t>
      </w:r>
      <w:r>
        <w:rPr>
          <w:rFonts w:ascii="Times New Roman" w:cs="Times New Roman" w:eastAsia="Times New Roman" w:hAnsi="Times New Roman"/>
          <w:sz w:val="18"/>
          <w:szCs w:val="18"/>
          <w:color w:val="auto"/>
        </w:rPr>
        <w:t>” and the sign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the United States of America.</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Drawn Excess Amount</w:t>
      </w:r>
      <w:r>
        <w:rPr>
          <w:rFonts w:ascii="Times New Roman" w:cs="Times New Roman" w:eastAsia="Times New Roman" w:hAnsi="Times New Roman"/>
          <w:sz w:val="18"/>
          <w:szCs w:val="18"/>
          <w:color w:val="auto"/>
        </w:rPr>
        <w:t>” means, with respect to any calendar month (the “</w:t>
      </w:r>
      <w:r>
        <w:rPr>
          <w:rFonts w:ascii="Times New Roman" w:cs="Times New Roman" w:eastAsia="Times New Roman" w:hAnsi="Times New Roman"/>
          <w:sz w:val="18"/>
          <w:szCs w:val="18"/>
          <w:u w:val="single" w:color="auto"/>
          <w:color w:val="auto"/>
        </w:rPr>
        <w:t>Measurement Month</w:t>
      </w:r>
      <w:r>
        <w:rPr>
          <w:rFonts w:ascii="Times New Roman" w:cs="Times New Roman" w:eastAsia="Times New Roman" w:hAnsi="Times New Roman"/>
          <w:sz w:val="18"/>
          <w:szCs w:val="18"/>
          <w:color w:val="auto"/>
        </w:rPr>
        <w:t xml:space="preserve">”), the positive difference, if any, between: (a) the aggregate amount actually withdrawn by the Borrowers from the Segregated Accounts during such Measurement Month,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aggregate amount of such withdrawn funds that were actually disbursed and applied by the applicable Loan Parties during such Measurement Month for expenditures that are permitted under, and consistent with the applicable line items of, the Approved Budget in effect, in each case as determined by reference to the Variance Report for the Variance Testing Period that includes such Measurement Month.</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 of Bankruptcy</w:t>
      </w:r>
      <w:r>
        <w:rPr>
          <w:rFonts w:ascii="Times New Roman" w:cs="Times New Roman" w:eastAsia="Times New Roman" w:hAnsi="Times New Roman"/>
          <w:sz w:val="18"/>
          <w:szCs w:val="18"/>
          <w:color w:val="auto"/>
        </w:rPr>
        <w:t>” means, with respect to any contractual obligation, contract or agreement to which a Loan Party or a Subsidiary thereof is a party, any default or other legal consequences arising on account of the commencement or the filing of the Chapter 11 Cases (including the implementation of any stay), or the rejection of any such contractual obligation, contract or agreement with the approval of the Bankruptcy Court if required under applicable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provided in Section 6.</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Accounts</w:t>
      </w:r>
      <w:r>
        <w:rPr>
          <w:rFonts w:ascii="Times New Roman" w:cs="Times New Roman" w:eastAsia="Times New Roman" w:hAnsi="Times New Roman"/>
          <w:sz w:val="18"/>
          <w:szCs w:val="18"/>
          <w:color w:val="auto"/>
        </w:rPr>
        <w:t>” means any accounts used solely as (i) payroll and other employee wage and benefit accounts, (ii) accounts holding taxes (including sales tax and withholding tax) withheld or collected in respect of third parties and fiduciary accounts for unaffiliated third parties, (iii) zero balance accounts that are swept daily into a deposit account subject to a control agreement, (iv) cash collateral accounts for letters of credit, letters of guaranty, sureties and similar obligations (other than Cash Collateral), (v) other accounts with an average daily balance not in excess of $250,000 in any individual account or $500,000 in the aggregate for all such accounts that are Excluded Accounts pursuant to this clause (v) and (vi) other accounts as approved by the Required Lenders in their sole discretion.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Assets</w:t>
      </w:r>
      <w:r>
        <w:rPr>
          <w:rFonts w:ascii="Times New Roman" w:cs="Times New Roman" w:eastAsia="Times New Roman" w:hAnsi="Times New Roman"/>
          <w:sz w:val="18"/>
          <w:szCs w:val="18"/>
          <w:color w:val="auto"/>
        </w:rPr>
        <w:t>” means: (1) any “intent-to-use” application for registration of a trademark filed pursuant to Section 1(b) of the Lanham Act, 15 U.S.C. § 1051, prior to the filing of a “Statement of Use” pursuant to Section 1(d) of the Lanham Act of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w:t>
      </w:r>
    </w:p>
    <w:p>
      <w:pPr>
        <w:spacing w:after="0" w:line="3" w:lineRule="exact"/>
        <w:rPr>
          <w:sz w:val="20"/>
          <w:szCs w:val="20"/>
          <w:color w:val="auto"/>
        </w:rPr>
      </w:pPr>
    </w:p>
    <w:p>
      <w:pPr>
        <w:jc w:val="both"/>
        <w:ind w:firstLine="8"/>
        <w:spacing w:after="0" w:line="250" w:lineRule="auto"/>
        <w:tabs>
          <w:tab w:leader="none" w:pos="2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in respect of which pledges and security interests (x) are prohibited or restricted by (A) any law or regulation or (B) any contractual obligation (including any requirement to obtain the consent of any third party) (other than the Borrower or any Subsidiary)) that, in the case of this clause (B), exists on the Closing Date or at the time the relevant Guarantor becomes a Guarantor and was not incurred in contemplation of its becoming a Guarantor (including pursuant to assumed Indebtedness so long as such Indebtedness is permitted to be assumed under this Agreement), in each case other than to the extent that such prohibition would be rendered ineffective pursuant to Sections 9-406, 9-407, 9-408, 9-409 or other applicable provisions of the UCC of any relevant jurisdiction, the Bankruptcy Code, or any other applicable law); provided that, immediately upon the ineffectiveness, lapse or termination of any such prohibitions, such assets shall automatically cease to constitute Excluded Assets, (y) would require a governmental (including regulatory) consent, approval, license or authorization in order to provide the lien that is required on the Closing Date or at the time the relevant Guarantor becomes a Guarantor, unless such consent, approval, license or authorization has been obtained, or (z) would result in material adverse tax consequences to any Loan Party or any Subsidiary as reasonably determined by the Borrower and the Required Lenders, (3) equity interests in any entity other than wholly owned Subsidiaries to the extent pledges thereof are not permitted by such entity’s organizational or joint venture documents if and only if such prohibition was not added in order to result in Excluded Asset status (unless any such restriction would be rendered ineffective pursuant to Sections 9-406, 9-407, 9-408, 9-409 or other applicable provisions of the UCC of any relevant jurisdiction, the Bankruptcy Code, or any other applicable law), (4) any lease, license or other agreement or any property subject to a purchase money security interest or similar arrangement to the extent that a grant of a security interest therein would violate or invalidate such lease, license or agreement or purchase money arrangement or create a right of termination in favor of any other party thereto (other than the Borrower or any other Loan Party) (other than (x) proceeds and receivables thereof, the assignment of which is expressly deemed effective under the UCC notwithstanding such prohibition, (y) to the extent that any such term has been waived or (z) to the extent that any such term would be rendered ineffective pursuant to Sections 9-406, 9-407, 9-408, 9-409 or other applicable provisions of the UCC of any relevant jurisdiction or any other applicable law); provided that, immediately upon the ineffectiveness, lapse or termination of any such term, such assets shall automatically cease to constitute Excluded Assets, (5) Excluded Accounts and (6) those assets as to which the DIP Agent (at the written direction of the Required Lenders) agrees in writing that the cost, burden, difficulty or consequence of obtaining such a security interest or perfection thereof outweighs, or are excessive in relation to, the practical benefit to the DIP Lenders of the security to be afforded thereby. For the avoidance of doubt, in no event shall the Segregated Account constitute an Excluded Asset.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Adequate Protection Liens</w:t>
      </w:r>
      <w:r>
        <w:rPr>
          <w:rFonts w:ascii="Times New Roman" w:cs="Times New Roman" w:eastAsia="Times New Roman" w:hAnsi="Times New Roman"/>
          <w:sz w:val="18"/>
          <w:szCs w:val="18"/>
          <w:color w:val="auto"/>
        </w:rPr>
        <w:t>” has the meaning provided in the Interim DIP Order, as may be amended by the Final DIP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Backstop Fee</w:t>
      </w:r>
      <w:r>
        <w:rPr>
          <w:rFonts w:ascii="Times New Roman" w:cs="Times New Roman" w:eastAsia="Times New Roman" w:hAnsi="Times New Roman"/>
          <w:sz w:val="18"/>
          <w:szCs w:val="18"/>
          <w:color w:val="auto"/>
        </w:rPr>
        <w:t xml:space="preserve">” means has the meaning provided in </w:t>
      </w:r>
      <w:r>
        <w:rPr>
          <w:rFonts w:ascii="Times New Roman" w:cs="Times New Roman" w:eastAsia="Times New Roman" w:hAnsi="Times New Roman"/>
          <w:sz w:val="18"/>
          <w:szCs w:val="18"/>
          <w:u w:val="single" w:color="auto"/>
          <w:color w:val="auto"/>
        </w:rPr>
        <w:t>Section 2(h)(v)(A)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Backstop Parties</w:t>
      </w:r>
      <w:r>
        <w:rPr>
          <w:rFonts w:ascii="Times New Roman" w:cs="Times New Roman" w:eastAsia="Times New Roman" w:hAnsi="Times New Roman"/>
          <w:sz w:val="18"/>
          <w:szCs w:val="18"/>
          <w:color w:val="auto"/>
        </w:rPr>
        <w:t>” means those certain DIP Lenders that backstop the FBG New Money Term Loans, which as of the Closing Date are all FBG DIP Lenders.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Class A-2 Prepetition Notes</w:t>
      </w:r>
      <w:r>
        <w:rPr>
          <w:rFonts w:ascii="Times New Roman" w:cs="Times New Roman" w:eastAsia="Times New Roman" w:hAnsi="Times New Roman"/>
          <w:sz w:val="18"/>
          <w:szCs w:val="18"/>
          <w:color w:val="auto"/>
        </w:rPr>
        <w:t>” means, collectively, (a) the Royalty Class A-2 Notes; (b) GFG Class A-2 Notes; and (c) the Fazoli Prepetition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Class A-2 Prepetition Secured Obligations</w:t>
      </w:r>
      <w:r>
        <w:rPr>
          <w:rFonts w:ascii="Times New Roman" w:cs="Times New Roman" w:eastAsia="Times New Roman" w:hAnsi="Times New Roman"/>
          <w:sz w:val="18"/>
          <w:szCs w:val="18"/>
          <w:color w:val="auto"/>
        </w:rPr>
        <w:t>” means all obligations of every nature in connection with the FBG Class A-2 Prepetition Notes under the FBG Prepetition Indentures.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Commitments</w:t>
      </w:r>
      <w:r>
        <w:rPr>
          <w:rFonts w:ascii="Times New Roman" w:cs="Times New Roman" w:eastAsia="Times New Roman" w:hAnsi="Times New Roman"/>
          <w:sz w:val="18"/>
          <w:szCs w:val="18"/>
          <w:color w:val="auto"/>
        </w:rPr>
        <w:t xml:space="preserve">” means, as to each FBG DIP Lender, such FBG DIP Lender’s obligation to make a DIP Loan pursuant to Section 2, in an amount up to, but not exceeding, the amount set forth for such Lender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as such Lender’s “FBG New Money Term Facility”, as such amount may be adjusted from time to time in accordance with the terms hereof (including as necessary to reflect any repayments, prepayments, or commitment reductions) or reduced or increased from time to time pursuant to assignments by or to such FBG DIP Lender pursuant to Section 8(d) and as such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may be amended from time to time to reflect such assignments.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DIP Borrower</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DIP Collateral</w:t>
      </w:r>
      <w:r>
        <w:rPr>
          <w:rFonts w:ascii="Times New Roman" w:cs="Times New Roman" w:eastAsia="Times New Roman" w:hAnsi="Times New Roman"/>
          <w:sz w:val="18"/>
          <w:szCs w:val="18"/>
          <w:color w:val="auto"/>
        </w:rPr>
        <w:t>” has the meaning provided in the Interim DIP Order (and, for the avoidance of doubt, excluding any Excluded Assets), as may be amended by the Final DIP Order.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DIP Guarantors</w:t>
      </w:r>
      <w:r>
        <w:rPr>
          <w:rFonts w:ascii="Times New Roman" w:cs="Times New Roman" w:eastAsia="Times New Roman" w:hAnsi="Times New Roman"/>
          <w:sz w:val="18"/>
          <w:szCs w:val="18"/>
          <w:color w:val="auto"/>
        </w:rPr>
        <w:t>” means, collectively, (a) the Parent; (b) each FBG Subsidiary Guarantor; and (c) each entity designated as a “Guarantor” or “Additional Guarantor” under the FBG Prepetition Notes Documents. Notwithstanding the foregoing, and notwithstanding anything to the contrary in this Agreement, SEEDS OF COMPASSION FUND, INC. shall not be a FBG DIP Guarantor hereunder and shall not have any of the obligations of a FBG DIP Guarantor hereunder.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DIP Lender</w:t>
      </w:r>
      <w:r>
        <w:rPr>
          <w:rFonts w:ascii="Times New Roman" w:cs="Times New Roman" w:eastAsia="Times New Roman" w:hAnsi="Times New Roman"/>
          <w:sz w:val="18"/>
          <w:szCs w:val="18"/>
          <w:color w:val="auto"/>
        </w:rPr>
        <w:t>” means each financial institution from time to time party hereto as a “FBG DIP Lender,” together with its respective successors and permitted assigns.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DIP Lien</w:t>
      </w:r>
      <w:r>
        <w:rPr>
          <w:rFonts w:ascii="Times New Roman" w:cs="Times New Roman" w:eastAsia="Times New Roman" w:hAnsi="Times New Roman"/>
          <w:sz w:val="18"/>
          <w:szCs w:val="18"/>
          <w:color w:val="auto"/>
        </w:rPr>
        <w:t>” has the meaning provided in the Interim DIP Order, as may be amended by the Final DIP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DIP Loan Party</w:t>
      </w:r>
      <w:r>
        <w:rPr>
          <w:rFonts w:ascii="Times New Roman" w:cs="Times New Roman" w:eastAsia="Times New Roman" w:hAnsi="Times New Roman"/>
          <w:sz w:val="18"/>
          <w:szCs w:val="18"/>
          <w:color w:val="auto"/>
        </w:rPr>
        <w:t>” means each of the FBG DIP Borrowers and each FBG DIP Guarantor.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DIP Obligations</w:t>
      </w:r>
      <w:r>
        <w:rPr>
          <w:rFonts w:ascii="Times New Roman" w:cs="Times New Roman" w:eastAsia="Times New Roman" w:hAnsi="Times New Roman"/>
          <w:sz w:val="18"/>
          <w:szCs w:val="18"/>
          <w:color w:val="auto"/>
        </w:rPr>
        <w:t>” means all obligations of every nature of each FBG DIP Borrower and each other FBG DIP Loan Party under this Agreement and the other applicable DIP Loan Documents, including, without limitation, any liability of such FBG DIP Loan Party on any claim, whether or not the right to payment in respect of such claim is reduced to judgment, liquidated, unliquidated, fixed or contingent, matured, disputed, undisputed, legal, equitable, secured or unsecured, and whether or not such claim is discharged, stayed or otherwise affected by any bankruptcy, insolvency, reorganization or other similar proceeding. Without limiting the generality of the foregoing, the FBG DIP Obligations of the FBG DIP Loan Parties under this Agreement include (a) the obligation to pay principal, interest, charges, expenses, fees, attorneys’ fees and disbursements, indemnities and other amounts payable by any FBG DIP Borrower under any DIP Loan Document and (b) the obligation to reimburse any amount in respect of any of the foregoing that the FBG DIP Lender, in its sole discretion, may elect to pay or advance on behalf of any FBG DIP Loan Party.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Noteholders</w:t>
      </w:r>
      <w:r>
        <w:rPr>
          <w:rFonts w:ascii="Times New Roman" w:cs="Times New Roman" w:eastAsia="Times New Roman" w:hAnsi="Times New Roman"/>
          <w:sz w:val="18"/>
          <w:szCs w:val="18"/>
          <w:color w:val="auto"/>
        </w:rPr>
        <w:t>” means the holders of the FBG Prepetition Notes.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Secured Parties</w:t>
      </w:r>
      <w:r>
        <w:rPr>
          <w:rFonts w:ascii="Times New Roman" w:cs="Times New Roman" w:eastAsia="Times New Roman" w:hAnsi="Times New Roman"/>
          <w:sz w:val="18"/>
          <w:szCs w:val="18"/>
          <w:color w:val="auto"/>
        </w:rPr>
        <w:t>” means, collectively, the DIP Agent, the FBG DIP Lenders, and each co-agent or sub-agent appointed by the DIP Agent from time to time pursuant to the terms of this Agreement, any other holder from time to time of any FBG DIP Obligations and, in each case, their respective successors and permitted assigns.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Segregated Account</w:t>
      </w:r>
      <w:r>
        <w:rPr>
          <w:rFonts w:ascii="Times New Roman" w:cs="Times New Roman" w:eastAsia="Times New Roman" w:hAnsi="Times New Roman"/>
          <w:sz w:val="18"/>
          <w:szCs w:val="18"/>
          <w:color w:val="auto"/>
        </w:rPr>
        <w:t>” has the meaning provided in Section 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Subsidiary Guarantor</w:t>
      </w:r>
      <w:r>
        <w:rPr>
          <w:rFonts w:ascii="Times New Roman" w:cs="Times New Roman" w:eastAsia="Times New Roman" w:hAnsi="Times New Roman"/>
          <w:sz w:val="18"/>
          <w:szCs w:val="18"/>
          <w:color w:val="auto"/>
        </w:rPr>
        <w:t>” means each Subsidiary of the FBG DIP Borrowers.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FBG Guaranty</w:t>
      </w:r>
      <w:r>
        <w:rPr>
          <w:rFonts w:ascii="Times New Roman" w:cs="Times New Roman" w:eastAsia="Times New Roman" w:hAnsi="Times New Roman"/>
          <w:sz w:val="18"/>
          <w:szCs w:val="18"/>
          <w:color w:val="auto"/>
        </w:rPr>
        <w:t xml:space="preserve">” means the Parent and Subsidiary Guaranty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executed and delivered by the FBG DIP Guarantors on the Closing Date, together with each joinder agreement and supplement executed and delivered in connection therewith, as the same may be amended, restated, supplemented, or otherwise modified from time to time.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DIP Order</w:t>
      </w:r>
      <w:r>
        <w:rPr>
          <w:rFonts w:ascii="Times New Roman" w:cs="Times New Roman" w:eastAsia="Times New Roman" w:hAnsi="Times New Roman"/>
          <w:sz w:val="18"/>
          <w:szCs w:val="18"/>
          <w:color w:val="auto"/>
        </w:rPr>
        <w:t>” means a Final Order of the Bankruptcy Court entered in the Chapter 11 Cases authorizing and approving the DIP Facility and the Debtors’ use of Cash Collateral and the terms of this Agreement and the other DIP Loan Documents, in form and substance acceptable to the Required Lenders in their reasonable discretion, as the same may be amended, restated, supplemented or otherwise modified from time to time with the express consent of the Required Lenders.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Order</w:t>
      </w:r>
      <w:r>
        <w:rPr>
          <w:rFonts w:ascii="Times New Roman" w:cs="Times New Roman" w:eastAsia="Times New Roman" w:hAnsi="Times New Roman"/>
          <w:sz w:val="18"/>
          <w:szCs w:val="18"/>
          <w:color w:val="auto"/>
        </w:rPr>
        <w:t>” means an order signed by the Bankruptcy Court as to which no stay has been entered and which has not been reversed, vacated or overturned, and for which no appeal or motion to reconsider has been timely filed or, if timely filed, such appeal or motion to reconsider has been dismissed or denied unless the DIP Lender waives such requirement in writing.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Day Orders</w:t>
      </w:r>
      <w:r>
        <w:rPr>
          <w:rFonts w:ascii="Times New Roman" w:cs="Times New Roman" w:eastAsia="Times New Roman" w:hAnsi="Times New Roman"/>
          <w:sz w:val="18"/>
          <w:szCs w:val="18"/>
          <w:color w:val="auto"/>
        </w:rPr>
        <w:t>” means those orders entered by the Bankruptcy Court as a result of motions and applications filed by the Borrowers and the other Loan Parties with the Bankruptcy Court on the Petition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acceptable accounting principles applied on a consistent basis.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Governance Agreement</w:t>
      </w:r>
      <w:r>
        <w:rPr>
          <w:rFonts w:ascii="Times New Roman" w:cs="Times New Roman" w:eastAsia="Times New Roman" w:hAnsi="Times New Roman"/>
          <w:sz w:val="18"/>
          <w:szCs w:val="18"/>
          <w:color w:val="auto"/>
        </w:rPr>
        <w:t>” means the resolution agreed to by the Special Committee, the Parent, the Ad Hoc Group, Andrew Wiederhorn and other parties thereto with respect to governance of the Debtors as set forth in the Amended and Restated Stipulation and Agreed Order Regarding Mediated Agreement Docket No. 472.</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Governance Protocol</w:t>
      </w:r>
      <w:r>
        <w:rPr>
          <w:rFonts w:ascii="Times New Roman" w:cs="Times New Roman" w:eastAsia="Times New Roman" w:hAnsi="Times New Roman"/>
          <w:sz w:val="18"/>
          <w:szCs w:val="18"/>
          <w:color w:val="auto"/>
        </w:rPr>
        <w:t>” has the meaning set forth in Section 4(a)(xvi).</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regional, county, municipal or local, and any agency, authority, instrumentality, regulatory body, ministry, court, central bank or other entity exercising executive, legislative, judicial, taxing, regulatory or administrative powers or functions of or pertaining to government.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collectively, (a) the FBG DIP Guarantors; and (b) the Twin DIP Guarantors. For the avoidance of doubt, SEEDS OF COMPASSION FUND, INC. shall not be a Guarantor hereunder and shall not have any of the obligations of a Guarantor 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collectively, (a) the FBG Guaranty; and (b) the Twin Guaranty.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Houlihan Engagement Letter</w:t>
      </w:r>
      <w:r>
        <w:rPr>
          <w:rFonts w:ascii="Times New Roman" w:cs="Times New Roman" w:eastAsia="Times New Roman" w:hAnsi="Times New Roman"/>
          <w:sz w:val="18"/>
          <w:szCs w:val="18"/>
          <w:color w:val="auto"/>
        </w:rPr>
        <w:t>” means the engagement letter, dated as of the Closing Date, between the Borrower and the Specified Financial Advisor, as amended, restated, supplemented or otherwise modified from time to time.</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without duplication, (a) all indebtedness of such Person for borrowed money or for the deferred purchase price of property payment for which is deferred 6 months or more, but excluding obligations to trade creditors incurred in the ordinary course of business that are not overdue by more than 6 months unless being contested in good faith, (b) all reimbursement and other obligations with respect to letters of credit, bankers’ acceptances and surety bonds, whether or not matured, (c) all obligations evidenced by notes, bonds, debentures or similar instruments,</w:t>
      </w:r>
    </w:p>
    <w:p>
      <w:pPr>
        <w:spacing w:after="0" w:line="3" w:lineRule="exact"/>
        <w:rPr>
          <w:sz w:val="20"/>
          <w:szCs w:val="20"/>
          <w:color w:val="auto"/>
        </w:rPr>
      </w:pPr>
    </w:p>
    <w:p>
      <w:pPr>
        <w:jc w:val="both"/>
        <w:ind w:firstLine="8"/>
        <w:spacing w:after="0" w:line="251" w:lineRule="auto"/>
        <w:tabs>
          <w:tab w:leader="none" w:pos="2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that portion of obligations with respect to Capital Leases which is properly classified as a liability on a balance sheet in conformity with GAAP, (f) all obligations of such Person under commodity purchase or option agreements or other commodity price hedging arrangements, in each case whether contingent or matured, (g) all obligations of such Person under any foreign exchange contract, currency swap agreement, interest rate swap, cap or collar agreement or other similar agreement or arrangement designed to alter the risks of that Person arising from fluctuations in currency values or interest rates, in each case whether contingent or matured, (h) all indebtedness referred to above secured by (or for which the holder of such Indebtedness has an existing right, contingent or otherwise, to be secured by) any Lien upon or in property or other assets (including accounts and contract rights) owned by such Person, even though such Person has not assumed or become liable for the payment of such indebtedness, and (i) to the extent not otherwise included, any guarantee by and Person of any obligations in clauses (a) through (h) above.</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Interim DIP Order</w:t>
      </w:r>
      <w:r>
        <w:rPr>
          <w:rFonts w:ascii="Times New Roman" w:cs="Times New Roman" w:eastAsia="Times New Roman" w:hAnsi="Times New Roman"/>
          <w:sz w:val="18"/>
          <w:szCs w:val="18"/>
          <w:color w:val="auto"/>
        </w:rPr>
        <w:t xml:space="preserve">” means an interim order of the Bankruptcy Court entered in the Chapter 11 Cases authorizing and approving the DIP Facility and the terms of this Agreement and the other DIP Loan Documents,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 any modifications thereto approved by the Required Lenders in their reasonable discretion, as the same may be amended, restated, supplemented or otherwise modified from time to time with the express reasonable consent of the Required Lenders in accordance with the terms of such Interim DIP Order.</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means, with respect to any Person, all investments by such Person in other Persons (including Affiliates) in the form of any direct or indirect (a) advance, loan, time deposit or other extensions of credit (other than advances or extensions of credit to customers, suppliers, directors, officers or employees of any Person in the ordinary course of business, and excluding any debt or extension of credit represented by a bank deposit other than a time deposit), (b) capital contribution to (by means of any transfer of cash or other property to others or any payment for property or services for the account or use of others), (c) incurrence of a guarantee of any obligation of, or (d) any purchase or acquisition of shares, other equity interests, indebtedness or other similar instruments issued by, in each case, such other Persons and all other items that are or would be classified as investments on a balance sheet prepared in accordance with GAAP,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endorsements of negotiable instruments and documents in the ordinary course of business will not be deemed to be an Investment.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with respect to any assets or property, (a) any mortgage, deed of trust, trust, deemed trust (statutory or otherwise), lien (statutory or otherwise), pledge, encumbrance, claim, charge, assignment, hypothecation, security interest or encumbrance of any kind or any filing of any financing statement under the UCC or any other similar notice of Lien under any similar notice or recording statute of any Governmental Authority, including any easement, right-of-way or other encumbrance on title to real property, in each of the foregoing cases whether voluntary or imposed by law, and any agreement to give any of the foregoing, (b) the interest of a vendor or a lessor under any conditional sale agreement, capital lease or title retention agreement (or any financing lease having substantially the same economic effect as any of the foregoing) relating to such Property and (c) in the case of securities, any purchase option, call or similar right of a third party with respect to such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operating lease or an agreement to sell entered into by a Loan Party as lessee or seller, as applicable, in the ordinary course of business shall not, in and of itself, as applicable, be deemed to constitute a Lien on such Loan Party’s interest in the leased or sold property, as applicable, solely by reason of such Loan Party being a lessee or seller, as applicable, thereunder;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purchase and sale agreement entered into in connection with an Acceptable Sale Transaction pursuant to an Acceptable Sale Process shall not in and of itself be deemed to constitute a Lien on the assets subject to such agreement.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Liquidity Need</w:t>
      </w:r>
      <w:r>
        <w:rPr>
          <w:rFonts w:ascii="Times New Roman" w:cs="Times New Roman" w:eastAsia="Times New Roman" w:hAnsi="Times New Roman"/>
          <w:sz w:val="18"/>
          <w:szCs w:val="18"/>
          <w:color w:val="auto"/>
        </w:rPr>
        <w:t>” shall occur at any time that the available cash on hand, calculated on a consolidated basis for all Loan Parties, is less than $5,000,000, taking into account the forecasted disbursements through the Maturity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Loan Parties</w:t>
      </w:r>
      <w:r>
        <w:rPr>
          <w:rFonts w:ascii="Times New Roman" w:cs="Times New Roman" w:eastAsia="Times New Roman" w:hAnsi="Times New Roman"/>
          <w:sz w:val="18"/>
          <w:szCs w:val="18"/>
          <w:color w:val="auto"/>
        </w:rPr>
        <w:t>” means, collectively, (a) each FBG DIP Loan Party and (b) each Twin DIP Loan Party.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Agreements</w:t>
      </w:r>
      <w:r>
        <w:rPr>
          <w:rFonts w:ascii="Times New Roman" w:cs="Times New Roman" w:eastAsia="Times New Roman" w:hAnsi="Times New Roman"/>
          <w:sz w:val="18"/>
          <w:szCs w:val="18"/>
          <w:color w:val="auto"/>
        </w:rPr>
        <w:t>” has the meaning provided in the Interim DIP Order.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has the meaning provided in Regulation U of the Board of Governors of the Federal Reserve System as from time to time in effect and any successor to all or a portion thereof.</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 a material adverse change in, or a material adverse effect on, the operations, business, assets, properties, liabilities (actual or contingent), or financial condition of any of the Loan Parties, taken as a whole (other than as customarily occurs as a result of events leading up to and following the commencement of a proceeding under chapter 11 of the Bankruptcy Code and the commencement of the Chapter 11 Cases); (b) a material impairment of the rights and remedies of the Secured Parties under any DIP Loan Document, or of the ability of any Loan Party to perform its obligations under any DIP Loan Document to which it is a party; or (c) a material adverse effect upon the legality, validity, binding effect or enforceability against any Loan Party of any DIP Loan Document to which any of them is a party, other than in accordance with its terms. For the avoidance of doubt, a “Material Adverse Effect” shall not be deemed to exist as a result of the Effect of Bankruptcy or the Chapter 11 Cases or the events leading up to and resulting therefrom.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the earliest of: (a) May 8, 2026;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date may be extended with the written consent of the Required Lenders, (b) the date of acceleration of the Loans or termination of the commitments following an Event of Default pursuant to the terms hereof pursuant to Section 6 or otherwise, (c) 11:59 p.m. prevailing Eastern Time on April 10, 2026 if the Bankruptcy Court has not entered the Final DIP Order, (d) the date the Bankruptcy Court indicates or specifies that it will not approve the Final DIP Order or otherwise denies approval of the Final Order, (e) the effective date of a chapter 11 plan in the Chapter 11 Case, which is confirmed by an order of the Bankruptcy Court, and (f) the closing of an Acceptable Sale Transaction.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Milestones</w:t>
      </w:r>
      <w:r>
        <w:rPr>
          <w:rFonts w:ascii="Times New Roman" w:cs="Times New Roman" w:eastAsia="Times New Roman" w:hAnsi="Times New Roman"/>
          <w:sz w:val="18"/>
          <w:szCs w:val="18"/>
          <w:color w:val="auto"/>
        </w:rPr>
        <w:t>” has the meaning provided in Section 5(e).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Monthly Segregated Account Withdrawal Limit</w:t>
      </w:r>
      <w:r>
        <w:rPr>
          <w:rFonts w:ascii="Times New Roman" w:cs="Times New Roman" w:eastAsia="Times New Roman" w:hAnsi="Times New Roman"/>
          <w:sz w:val="18"/>
          <w:szCs w:val="18"/>
          <w:color w:val="auto"/>
        </w:rPr>
        <w:t>” means, with respect to any calendar month, an amount equal to (i) the aggregate disbursements projected for such calendar month for the applicable Loan Parties, as set forth in the Approved Budget then in effect, plus (ii) the maximum additional amount permitted under the applicable Permitted Variance thresholds set forth in Section 5(b) for such calendar month; provided that the Monthly Segregated Account Withdrawal Limit for any calendar month shall be reduced, on a dollar-for-dollar basis, by the sum of (x) Drawn Excess Amount, if any, calculated with respect to the immediately preceding calendar month plus (y) any remaining unused Drawn Excess Amount from any prior calendar month plus (z) the available cash on hand, calculated on a consolidated basis for all Loan Parties, at such time in excess of $5,000,000 (in the case of each of the foregoing clauses (x), (y) and (z), without duplication).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Money Term Loans</w:t>
      </w:r>
      <w:r>
        <w:rPr>
          <w:rFonts w:ascii="Times New Roman" w:cs="Times New Roman" w:eastAsia="Times New Roman" w:hAnsi="Times New Roman"/>
          <w:sz w:val="18"/>
          <w:szCs w:val="18"/>
          <w:color w:val="auto"/>
        </w:rPr>
        <w:t>” means, collectively, (a) the FBG New Money Term Loans and (b) the Twin New Money Term Loans.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has the meaning provided in Section 2(d),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such other changes as approved by the Required Lenders in their reasonable discretion).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collectively, (a) the FBG DIP Obligations and (b) the Twin DIP Obligations.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DIP Loan Document, except any such Taxes that are imposed on a Recipient as a result of its present or former connection to the applicable taxing jurisdiction (other than such Recipient’s connections with such taxing jurisdiction arising from, out of or with respect to any DIP Loan Documents or any transactions therein) with respect to an assignment (other than an assignment made pursuant to a request by any Borrower).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has the meaning provided in Section 8(l).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2" w:name="page33"/>
    <w:bookmarkEnd w:id="3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Dispositions</w:t>
      </w:r>
      <w:r>
        <w:rPr>
          <w:rFonts w:ascii="Times New Roman" w:cs="Times New Roman" w:eastAsia="Times New Roman" w:hAnsi="Times New Roman"/>
          <w:sz w:val="18"/>
          <w:szCs w:val="18"/>
          <w:color w:val="auto"/>
        </w:rPr>
        <w:t>” means: (a) sale of any furniture, fixture, equipment or inventory that is no longer used or useful in the business of the Loan Parties or their Subsidiaries in the ordinary course of business and as approved by the CRO, (b) sale of inventory or scrap in the ordinary course of business and as approved by the CRO, (c) the granting of Permitted Liens, (d) the leasing or subleasing of assets of any Loan Party or its Subsidiaries in the ordinary course of business and as approved by the CRO, (e) the making of Permitted Investments, (f) Dispositions in the ordinary course of business of cash or cash equivalents, (g) Dispositions pursuant to casualty events, (h) Dispositions in connection with an Acceptable Sale Transaction or pursuant to an Acceptable Sale Process (or any related motions) or the Bidding Procedures Motion, and (i) Disposition of assets (other than transfer or sales of its own capital stock) by (i) any Loan Party to any other Loan Party, (ii) any Loan Party to any other Subsidiary of a Loan Party that is not a Loan Party in the ordinary course of business and as approved by the CRO for a valid business purposes and (iii) any Subsidiary of a Loan Party that is not a Loan Party to a Loan Party.</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Indebtedness</w:t>
      </w:r>
      <w:r>
        <w:rPr>
          <w:rFonts w:ascii="Times New Roman" w:cs="Times New Roman" w:eastAsia="Times New Roman" w:hAnsi="Times New Roman"/>
          <w:sz w:val="18"/>
          <w:szCs w:val="18"/>
          <w:color w:val="auto"/>
        </w:rPr>
        <w:t xml:space="preserve">” means: (a) Indebtedness under this Agreement; (b) Indebtedness under the Prepetition Notes; (c) other Indebtedness to third parties that are not Affiliates of any Debtors or the Loan Parties outstanding on the date hereof and set forth on </w:t>
      </w:r>
      <w:r>
        <w:rPr>
          <w:rFonts w:ascii="Times New Roman" w:cs="Times New Roman" w:eastAsia="Times New Roman" w:hAnsi="Times New Roman"/>
          <w:sz w:val="18"/>
          <w:szCs w:val="18"/>
          <w:u w:val="single" w:color="auto"/>
          <w:color w:val="auto"/>
        </w:rPr>
        <w:t>Schedule 1A</w:t>
      </w:r>
      <w:r>
        <w:rPr>
          <w:rFonts w:ascii="Times New Roman" w:cs="Times New Roman" w:eastAsia="Times New Roman" w:hAnsi="Times New Roman"/>
          <w:sz w:val="18"/>
          <w:szCs w:val="18"/>
          <w:color w:val="auto"/>
        </w:rPr>
        <w:t xml:space="preserve">; (d) Refinancing Indebtedness secured by purchase money security interests or Capital Leases existing as of the date hereof, (e) </w:t>
      </w:r>
      <w:r>
        <w:rPr>
          <w:rFonts w:ascii="Times New Roman" w:cs="Times New Roman" w:eastAsia="Times New Roman" w:hAnsi="Times New Roman"/>
          <w:sz w:val="18"/>
          <w:szCs w:val="18"/>
          <w:u w:val="single" w:color="auto"/>
          <w:color w:val="auto"/>
        </w:rPr>
        <w:t>Permitted Intercompany Advances</w:t>
      </w:r>
      <w:r>
        <w:rPr>
          <w:rFonts w:ascii="Times New Roman" w:cs="Times New Roman" w:eastAsia="Times New Roman" w:hAnsi="Times New Roman"/>
          <w:sz w:val="18"/>
          <w:szCs w:val="18"/>
          <w:color w:val="auto"/>
        </w:rPr>
        <w:t>, (f) endorsement of instruments or other payment items for deposit in the ordinary course of business, (g) Indebtedness incurred in respect of bank products (other than pursuant to hedge agreements) in the ordinary course of business, including netting services, automatic clearinghouse arrangements, overdraft protections and other cash management arrangements, (h) Indebtedness assumed in connection with a Permitted Investments, (i) Indebtedness consisting of unsecured guarantees incurred in the ordinary course of business with respect to surety and appeal bonds, performance bonds, bid bonds, appeal bonds, completion guarantee and similar obligations, (j) [reserved], (k) other unsecured Indebtedness incurred in the ordinary course of business in an aggregate principal amount not to exceed $50,000 at any time outstanding and (l) Indebtedness owed to any Person providing property, casualty, liability, or other insurance to any Loan Party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Intercompany Advances</w:t>
      </w:r>
      <w:r>
        <w:rPr>
          <w:rFonts w:ascii="Times New Roman" w:cs="Times New Roman" w:eastAsia="Times New Roman" w:hAnsi="Times New Roman"/>
          <w:sz w:val="18"/>
          <w:szCs w:val="18"/>
          <w:color w:val="auto"/>
        </w:rPr>
        <w:t xml:space="preserve">” means intercompany loans made after the Petition Date and as approved by the CRO by (a) a Loan Party to another Loan Party, (b) a Subsidiary of a Loan Party which is not a Loan Party to another Subsidiary of a Loan Party which is not a Loan Party, (c) a Loan Party to any Subsidiary of a Loan Party which is not a Loan Party so long as any such loans are made for a valid and bona fide business purpose and in conformance with the Approved Budget and (d) a Subsidiary of a Loan Party which is not a Loan Party to a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loans made pursuant to clause (d) must be subject to a customary intercompany subordination agreement satisfactory to the Required Lenders.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xml:space="preserve">” means (a) any Investment existing on the date hereof and set forth on </w:t>
      </w:r>
      <w:r>
        <w:rPr>
          <w:rFonts w:ascii="Times New Roman" w:cs="Times New Roman" w:eastAsia="Times New Roman" w:hAnsi="Times New Roman"/>
          <w:sz w:val="18"/>
          <w:szCs w:val="18"/>
          <w:u w:val="single" w:color="auto"/>
          <w:color w:val="auto"/>
        </w:rPr>
        <w:t>Schedule 1B</w:t>
      </w:r>
      <w:r>
        <w:rPr>
          <w:rFonts w:ascii="Times New Roman" w:cs="Times New Roman" w:eastAsia="Times New Roman" w:hAnsi="Times New Roman"/>
          <w:sz w:val="18"/>
          <w:szCs w:val="18"/>
          <w:color w:val="auto"/>
        </w:rPr>
        <w:t xml:space="preserve"> and other Investments permitted by a First Day Order, (b) Investments consisting of Permitted Intercompany Advances, (c) Investments in cash and cash equivalents, (d) Investments in negotiable instruments deposited or to be deposited for collection in the ordinary course of business, (e) advances made in connection with purchases of goods or services in the ordinary course of business, (f) Investments resulting from entering into agreements relative to Indebtedness that is permitted under clauses (g) and (i) of the definition of Permitted Indebtedness, (h) 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 of any Lien in favor of a Loan Party or its Subsidiaries and (i) deposits of cash made in the ordinary course of business to secure performance of operating leases or other contractual obligations entered into in the ordinary course of business; provided that the aggregate amount of all such cash deposits made pursuant to this clause (i) in respect of obligations shall not exceed $100,000 at any time outstanding.</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means (a) purchase-money security interests in specific items of equipment securing Permitted Indebtedness described under clause (d) of the definition of Permitted Indebtedness, (b) liens for taxes, fees, assessments, or other governmental charges or levies, either not delinquent or being contested in good faith by appropriate proceedings (which proceedings have the effect of preventing the enforcement of such lien) for which adequate reserves in accordance with GAAP are being maintained, (c) the DIP Liens, (d) liens which constitute banker’s liens, rights of set-off, or similar rights as to deposit accounts or other funds maintained with a bank or other financial institution (but only to the extent such banker’s liens, rights of set-off or other rights are in respect of customary service charges relative to such deposit accounts and other funds, and not in respect of any loans or other extensions of credit by such bank or other financial institution to any Loan Party), (e) Liens securing the Prepetition Notes, (f) judgment Liens in respect of judgments that do not constitute an Event of Default so long as such judgments are stayed during the pendency of the Bankruptcy Cases, and (g) adequate protection liens granted to the Prepetition Noteholders pursuant to the DIP Order.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Prior Lien</w:t>
      </w:r>
      <w:r>
        <w:rPr>
          <w:rFonts w:ascii="Times New Roman" w:cs="Times New Roman" w:eastAsia="Times New Roman" w:hAnsi="Times New Roman"/>
          <w:sz w:val="18"/>
          <w:szCs w:val="18"/>
          <w:color w:val="auto"/>
        </w:rPr>
        <w:t>” has the meaning provided in the DIP Order.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Petition Date</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Platform</w:t>
      </w:r>
      <w:r>
        <w:rPr>
          <w:rFonts w:ascii="Times New Roman" w:cs="Times New Roman" w:eastAsia="Times New Roman" w:hAnsi="Times New Roman"/>
          <w:sz w:val="18"/>
          <w:szCs w:val="18"/>
          <w:color w:val="auto"/>
        </w:rPr>
        <w:t>” means Debt Domain, Intralinks, Syndtrak, DebtX or a substantially similar electronic transmission system.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Class A-2 Notes</w:t>
      </w:r>
      <w:r>
        <w:rPr>
          <w:rFonts w:ascii="Times New Roman" w:cs="Times New Roman" w:eastAsia="Times New Roman" w:hAnsi="Times New Roman"/>
          <w:sz w:val="18"/>
          <w:szCs w:val="18"/>
          <w:color w:val="auto"/>
        </w:rPr>
        <w:t>” means, collectively, the FBG Class A-2 Prepetition Notes and the Twin Prepetition Notes.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Class A-2 Secured Obligations</w:t>
      </w:r>
      <w:r>
        <w:rPr>
          <w:rFonts w:ascii="Times New Roman" w:cs="Times New Roman" w:eastAsia="Times New Roman" w:hAnsi="Times New Roman"/>
          <w:sz w:val="18"/>
          <w:szCs w:val="18"/>
          <w:color w:val="auto"/>
        </w:rPr>
        <w:t>” means, collectively, the FBG Class A-2 Prepetition Secured Obligations and the Twin Class A-2 Prepetition Secured Obligations.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Indentures</w:t>
      </w:r>
      <w:r>
        <w:rPr>
          <w:rFonts w:ascii="Times New Roman" w:cs="Times New Roman" w:eastAsia="Times New Roman" w:hAnsi="Times New Roman"/>
          <w:sz w:val="18"/>
          <w:szCs w:val="18"/>
          <w:color w:val="auto"/>
        </w:rPr>
        <w:t>” means, collectively, the FBG Prepetition Indentures and the Twin Prepetition Indenture, in each case as amended, restated, amended and restated, supplemented or otherwise modified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Noteholders</w:t>
      </w:r>
      <w:r>
        <w:rPr>
          <w:rFonts w:ascii="Times New Roman" w:cs="Times New Roman" w:eastAsia="Times New Roman" w:hAnsi="Times New Roman"/>
          <w:sz w:val="18"/>
          <w:szCs w:val="18"/>
          <w:color w:val="auto"/>
        </w:rPr>
        <w:t>” means, collectively, the FBG Noteholders and the Twin Noteholders.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Notes</w:t>
      </w:r>
      <w:r>
        <w:rPr>
          <w:rFonts w:ascii="Times New Roman" w:cs="Times New Roman" w:eastAsia="Times New Roman" w:hAnsi="Times New Roman"/>
          <w:sz w:val="18"/>
          <w:szCs w:val="18"/>
          <w:color w:val="auto"/>
        </w:rPr>
        <w:t>” means, collectively, the FBG Prepetition Notes and the Twin Prepetition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Notes Documents</w:t>
      </w:r>
      <w:r>
        <w:rPr>
          <w:rFonts w:ascii="Times New Roman" w:cs="Times New Roman" w:eastAsia="Times New Roman" w:hAnsi="Times New Roman"/>
          <w:sz w:val="18"/>
          <w:szCs w:val="18"/>
          <w:color w:val="auto"/>
        </w:rPr>
        <w:t>” means, collectively, the FBG Prepetition Notes Documents and the Twin Prepetition Notes Documents.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Secured Obligations</w:t>
      </w:r>
      <w:r>
        <w:rPr>
          <w:rFonts w:ascii="Times New Roman" w:cs="Times New Roman" w:eastAsia="Times New Roman" w:hAnsi="Times New Roman"/>
          <w:sz w:val="18"/>
          <w:szCs w:val="18"/>
          <w:color w:val="auto"/>
        </w:rPr>
        <w:t>” means, collectively, the FBG Prepetition Secured Obligations and the Twin Prepetition Secured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Prepetition Secured Parties</w:t>
      </w:r>
      <w:r>
        <w:rPr>
          <w:rFonts w:ascii="Times New Roman" w:cs="Times New Roman" w:eastAsia="Times New Roman" w:hAnsi="Times New Roman"/>
          <w:sz w:val="18"/>
          <w:szCs w:val="18"/>
          <w:color w:val="auto"/>
        </w:rPr>
        <w:t>” means, collectively, the Prepetition Noteholders and the indenture trustees under the Prepetition Indentures.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as to each DIP Lender, the ratio, expressed as a percentage of (a) (i) the amount of such DIP Lender’s Commitments plus</w:t>
      </w:r>
    </w:p>
    <w:p>
      <w:pPr>
        <w:spacing w:after="0" w:line="27" w:lineRule="exact"/>
        <w:rPr>
          <w:sz w:val="20"/>
          <w:szCs w:val="20"/>
          <w:color w:val="auto"/>
        </w:rPr>
      </w:pPr>
    </w:p>
    <w:p>
      <w:pPr>
        <w:jc w:val="both"/>
        <w:ind w:firstLine="8"/>
        <w:spacing w:after="0" w:line="252" w:lineRule="auto"/>
        <w:tabs>
          <w:tab w:leader="none" w:pos="2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such DIP Lender’s outstanding DIP Loan to (b) (i) the aggregate amount of the Commitments of all DIP Lenders plus (ii) the aggregate amount of all outstanding DIP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at the time of determination the Commitments have terminated or been reduced to zero, the “Pro Rata Share” of each DIP Lender shall be the ratio, expressed as a percentage of (A) the sum of the unpaid principal amount of all outstanding DIP Loans owing to such DIP Lender as of such date to (B) the sum of the aggregate unpaid principal amount of all outstanding DIP Loans of all DIP Lenders as of such date. If at the time of determination the Commitments have terminated and there are no outstanding DIP Loans, then the Pro Rata Shares of the DIP Lenders shall be determined as of the most recent date on which Commitments were in effect or DIP Loans were outstanding.</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the DIP Agent and the DIP Lenders.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Indebtedness</w:t>
      </w:r>
      <w:r>
        <w:rPr>
          <w:rFonts w:ascii="Times New Roman" w:cs="Times New Roman" w:eastAsia="Times New Roman" w:hAnsi="Times New Roman"/>
          <w:sz w:val="18"/>
          <w:szCs w:val="18"/>
          <w:color w:val="auto"/>
        </w:rPr>
        <w:t>” means refinancings, renewals, or extensions of Indebtedness so long as:</w:t>
      </w:r>
    </w:p>
    <w:p>
      <w:pPr>
        <w:spacing w:after="0" w:line="225" w:lineRule="exact"/>
        <w:rPr>
          <w:sz w:val="20"/>
          <w:szCs w:val="20"/>
          <w:color w:val="auto"/>
        </w:rPr>
      </w:pPr>
    </w:p>
    <w:p>
      <w:pPr>
        <w:jc w:val="both"/>
        <w:ind w:right="20" w:firstLine="1304"/>
        <w:spacing w:after="0" w:line="266" w:lineRule="auto"/>
        <w:tabs>
          <w:tab w:leader="none" w:pos="15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refinancings, renewals, or extensions do not result in an increase in the principal amount of the Indebtedness so refinanced, renewed, or extended, other than by the amount of premiums paid thereon and the accrued interest, fees and expenses incurred in connection therewith and by the amount of unfunded commitments with respect thereto,</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refinancings, renewals, or extensions do not result in a shortening of the average weighted maturity (measured as of the refinancing, renewal, or extension) of the Indebtedness so refinanced, renewed, or extended, nor are they on terms or conditions that, taken as a whole, are or could reasonably be expected to be materially adverse to the interests of the DIP Lenders (or such other terms as are reasonably consented to by the Required Lenders),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that is refinanced, renewed, or extended was contractually subordinated in right of payment to the Obligations, then the terms and conditions of the refinancing, renewal, or extension must include contractual subordination terms and conditions that are at least as favorable to the DIP Lenders as those that were applicable to the refinanced, renewed, or extended Indebtedness,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8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that is refinanced, renewed, or extended was unsecured, then the refinancing, renewal, or extension of such Indebtedness must be unsecured,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5" w:name="page36"/>
    <w:bookmarkEnd w:id="35"/>
    <w:p>
      <w:pPr>
        <w:ind w:firstLine="1304"/>
        <w:spacing w:after="0" w:line="282" w:lineRule="auto"/>
        <w:tabs>
          <w:tab w:leader="none" w:pos="15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Indebtedness that is refinanced, renewed, or extended is not recourse to any Person that is liable on account of the Obligations other than those Persons which were obligated with respect to the Indebtedness that was refinanced, renewed, or extended.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Person, such Person’s Affiliates and the partners, shareholders, directors, officers, employees, agents, counsel, trustees, administrators, managers, advisors and representatives of such Person and of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such Person’s employees, agents, representatives and financing sources, and any investment banker, financial advisor, consultant, accountant, legal counsel, agent, representative or expert retained by or acting on behalf such Person.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means, with respect to any Person, any and all requirements of any Governmental Authority applicable to such Person having the force of law, including any and all laws, judgments, orders, decrees, ordinances, rules, regulations, statutes or case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FBG Lenders</w:t>
      </w:r>
      <w:r>
        <w:rPr>
          <w:rFonts w:ascii="Times New Roman" w:cs="Times New Roman" w:eastAsia="Times New Roman" w:hAnsi="Times New Roman"/>
          <w:sz w:val="18"/>
          <w:szCs w:val="18"/>
          <w:color w:val="auto"/>
        </w:rPr>
        <w:t>” means, as of any date of determination, with respect to the FBG DIP Facility, the DIP Lenders having more than 50% of the aggregate principal amount of all outstanding DIP Loans under the FBG DIP Facility and the unused Commitments at such time with respect to the FBG DIP Facility.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means, as of any date of determination, the DIP Lenders holding more than 50% of the aggregate principal amount of all outstanding DIP Loans and unused Commitments at such time.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Twin Lenders</w:t>
      </w:r>
      <w:r>
        <w:rPr>
          <w:rFonts w:ascii="Times New Roman" w:cs="Times New Roman" w:eastAsia="Times New Roman" w:hAnsi="Times New Roman"/>
          <w:sz w:val="18"/>
          <w:szCs w:val="18"/>
          <w:color w:val="auto"/>
        </w:rPr>
        <w:t>” means, as of any date of determination, with respect to the Twin DIP Facility, the DIP Lenders having more than 50% of the aggregate principal amount of all outstanding DIP Loans under the Twin DIP Facility and the unused Commitments at such time with respect to the Twin DIP Facility; provided that, solely for purposes of determining the resolution of the Twin Roll-Up Reservation, “Required Twin Lenders” shall mean both (x) the Twin DIP Lenders having at least 66 2/3% of the aggregate principal amount of all outstanding Roll-Up Loans under the Twin Senior Roll-Up Financing and (y) the Twin DIP Lenders having at least 66 2/3% of the aggregate principal amount of all outstanding Roll-Up Loans under the Twin Junior Roll-Up Financing, each class voting separately and independently.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xml:space="preserve">” means any dividend or other distribution (whether in cash, securities or other property) with respect to any equity interest of any Loan Party or any Subsidiary thereof, or any payment (whether in cash, securities or other property), including any sinking fund or similar deposit, on account of the purchase, redemption, retirement, defeasance, acquisition, cancellation or termination of any such equity interest, or on account of any return of capital to any Loan Party’s or any respective Subsidiary’s stockholders, partners or members (or the equivalent Persons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none of the following shall be deemed to result in, or be considered, a Restricted Payment: (a) any Permitted Investment and (b) Permitted Intercompany Advances and payments in connection with performance of the Management Agreements, approved by the CRO, and authorized pursuant to the Approved Budget.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6" w:name="page37"/>
    <w:bookmarkEnd w:id="3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Roll-Up Effective Time</w:t>
      </w:r>
      <w:r>
        <w:rPr>
          <w:rFonts w:ascii="Times New Roman" w:cs="Times New Roman" w:eastAsia="Times New Roman" w:hAnsi="Times New Roman"/>
          <w:sz w:val="18"/>
          <w:szCs w:val="18"/>
          <w:color w:val="auto"/>
        </w:rPr>
        <w:t>” means, with respect to any Borrowing of New Money Term Loans, as applicable, the moment immediately following the funding of such Borrowing to the applicable Borrower(s) in accordance with Section 2(e).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Roll-Up Financing</w:t>
      </w:r>
      <w:r>
        <w:rPr>
          <w:rFonts w:ascii="Times New Roman" w:cs="Times New Roman" w:eastAsia="Times New Roman" w:hAnsi="Times New Roman"/>
          <w:sz w:val="18"/>
          <w:szCs w:val="18"/>
          <w:color w:val="auto"/>
        </w:rPr>
        <w:t>” means collectively the FBG Roll-Up Financing and the Twin Roll-Up Financing.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Roll-Up Loan Amount</w:t>
      </w:r>
      <w:r>
        <w:rPr>
          <w:rFonts w:ascii="Times New Roman" w:cs="Times New Roman" w:eastAsia="Times New Roman" w:hAnsi="Times New Roman"/>
          <w:sz w:val="18"/>
          <w:szCs w:val="18"/>
          <w:color w:val="auto"/>
        </w:rPr>
        <w:t xml:space="preserve">” means the amount of the Roll-Up Loans allocated to each DIP Lender as set forth opposite such DIP Lender’s name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under the heading “Maximum Roll-Up Loan Amount.”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Roll-Up Loans</w:t>
      </w:r>
      <w:r>
        <w:rPr>
          <w:rFonts w:ascii="Times New Roman" w:cs="Times New Roman" w:eastAsia="Times New Roman" w:hAnsi="Times New Roman"/>
          <w:sz w:val="18"/>
          <w:szCs w:val="18"/>
          <w:color w:val="auto"/>
        </w:rPr>
        <w:t>” has the meaning assigned thereto in Section 2(f).</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Order</w:t>
      </w:r>
      <w:r>
        <w:rPr>
          <w:rFonts w:ascii="Times New Roman" w:cs="Times New Roman" w:eastAsia="Times New Roman" w:hAnsi="Times New Roman"/>
          <w:sz w:val="18"/>
          <w:szCs w:val="18"/>
          <w:color w:val="auto"/>
        </w:rPr>
        <w:t>” means a Final Order, in form and substance reasonably acceptable to the Required Lenders, authorizing an Acceptable Sale Transaction consistent with the Bidding Procedures and the Bidding Procedures Order.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collectively, (a) the FBG Secured Parties; and (b) the Twin Secured Parties.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any successor statute.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Segregated Accounts</w:t>
      </w:r>
      <w:r>
        <w:rPr>
          <w:rFonts w:ascii="Times New Roman" w:cs="Times New Roman" w:eastAsia="Times New Roman" w:hAnsi="Times New Roman"/>
          <w:sz w:val="18"/>
          <w:szCs w:val="18"/>
          <w:color w:val="auto"/>
        </w:rPr>
        <w:t>” has the meaning provided in Section 2(c).</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Segregated Account Control Agreement</w:t>
      </w:r>
      <w:r>
        <w:rPr>
          <w:rFonts w:ascii="Times New Roman" w:cs="Times New Roman" w:eastAsia="Times New Roman" w:hAnsi="Times New Roman"/>
          <w:sz w:val="18"/>
          <w:szCs w:val="18"/>
          <w:color w:val="auto"/>
        </w:rPr>
        <w:t>” means a “springing” deposit account control agreement substantially in a form reasonably acceptable to the Required Lenders, the DIP Agent (with respect to the rights, obligations, liabilities and immunities of the DIP Agent thereunder) and the relevant Borrower to be effective on the Closing Date (or at such time permitted by Schedule 5(c)) and delivered to the DIP Agent (to be executed by the DIP Agent at the written direction of the Required Lenders).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means the special committee of the boards of directors of each Loan Party, composed solely of Neal Goldman and Patrick Bartels, which is delegated complete and exclusive decision-making authority with respect to the Loan Parties’ restructuring, the implementation of any restructuring transactions, and the conduct of the Chapter 11 Cases pursuant to the Governance Protocol.</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Financial Advisor</w:t>
      </w:r>
      <w:r>
        <w:rPr>
          <w:rFonts w:ascii="Times New Roman" w:cs="Times New Roman" w:eastAsia="Times New Roman" w:hAnsi="Times New Roman"/>
          <w:sz w:val="18"/>
          <w:szCs w:val="18"/>
          <w:color w:val="auto"/>
        </w:rPr>
        <w:t>” Houlihan Lokey Capital, Inc., as financial advisor and investment banker to the Ad Hoc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Stipulated Allocation</w:t>
      </w:r>
      <w:r>
        <w:rPr>
          <w:rFonts w:ascii="Times New Roman" w:cs="Times New Roman" w:eastAsia="Times New Roman" w:hAnsi="Times New Roman"/>
          <w:sz w:val="18"/>
          <w:szCs w:val="18"/>
          <w:color w:val="auto"/>
        </w:rPr>
        <w:t>” shall mean the allocation of estate professional fees as set forth in Schedule 4(a).</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limited liability company, or other entity in which that Person directly or indirectly owns or controls the shares of capital stock having ordinary voting power to elect a majority of the board of directors (or appoint other comparable managers) of such corporation, partnership, limited liability company, or other entity.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7" w:name="page38"/>
    <w:bookmarkEnd w:id="3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Syndication Procedures</w:t>
      </w:r>
      <w:r>
        <w:rPr>
          <w:rFonts w:ascii="Times New Roman" w:cs="Times New Roman" w:eastAsia="Times New Roman" w:hAnsi="Times New Roman"/>
          <w:sz w:val="18"/>
          <w:szCs w:val="18"/>
          <w:color w:val="auto"/>
        </w:rPr>
        <w:t>” means the syndication procedures in connection with the DIP Facility, agreed to on or about the date hereof, among the Borrowers and the Ad Hoc Group (and reasonably acceptable, as to their respective rights and obligations, to the DIP Agent, the FBG Prepetition Notes Trustee and the Twin Prepetition Notes Trustee).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has the meaning provided in Section 8(c).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Adequate Protection Liens</w:t>
      </w:r>
      <w:r>
        <w:rPr>
          <w:rFonts w:ascii="Times New Roman" w:cs="Times New Roman" w:eastAsia="Times New Roman" w:hAnsi="Times New Roman"/>
          <w:sz w:val="18"/>
          <w:szCs w:val="18"/>
          <w:color w:val="auto"/>
        </w:rPr>
        <w:t>” has the meaning provided in the Interim DIP Order, as may be modified in the Final DIP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Backstop Fee</w:t>
      </w:r>
      <w:r>
        <w:rPr>
          <w:rFonts w:ascii="Times New Roman" w:cs="Times New Roman" w:eastAsia="Times New Roman" w:hAnsi="Times New Roman"/>
          <w:sz w:val="18"/>
          <w:szCs w:val="18"/>
          <w:color w:val="auto"/>
        </w:rPr>
        <w:t>” means has the meaning provided in Section 2(h)(v)(B).</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Backstop Parties</w:t>
      </w:r>
      <w:r>
        <w:rPr>
          <w:rFonts w:ascii="Times New Roman" w:cs="Times New Roman" w:eastAsia="Times New Roman" w:hAnsi="Times New Roman"/>
          <w:sz w:val="18"/>
          <w:szCs w:val="18"/>
          <w:color w:val="auto"/>
        </w:rPr>
        <w:t>” means those certain DIP Lenders that backstop the Twin New Money Term Loans, which as of the Closing Date are all Twin DIP Lenders.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Class A-2 Prepetition Secured Obligations</w:t>
      </w:r>
      <w:r>
        <w:rPr>
          <w:rFonts w:ascii="Times New Roman" w:cs="Times New Roman" w:eastAsia="Times New Roman" w:hAnsi="Times New Roman"/>
          <w:sz w:val="18"/>
          <w:szCs w:val="18"/>
          <w:color w:val="auto"/>
        </w:rPr>
        <w:t>” means all obligations of every nature in connection with the Twin Prepetition Notes under the Twin Prepetition Indenture.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Commitments</w:t>
      </w:r>
      <w:r>
        <w:rPr>
          <w:rFonts w:ascii="Times New Roman" w:cs="Times New Roman" w:eastAsia="Times New Roman" w:hAnsi="Times New Roman"/>
          <w:sz w:val="18"/>
          <w:szCs w:val="18"/>
          <w:color w:val="auto"/>
        </w:rPr>
        <w:t xml:space="preserve">” means, as to the Twin DIP Lender, such Twin DIP Lender’s obligation to make a DIP Loan pursuant to Section 2, in an amount up to, but not exceeding, the amount set forth for such Lender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as such Lender’s “Twin New Money Term Facility”, as such amount may be adjusted from time to time in accordance with the terms hereof (including as necessary to reflect any repayments, prepayments, or commitment reductions) or reduced or increased from time to time pursuant assignments by or to such Twin DIP Lender pursuant to Section 8(d) and as such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may be amended from time to time to reflect such assignments.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DIP Borrower</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DIP Collateral</w:t>
      </w:r>
      <w:r>
        <w:rPr>
          <w:rFonts w:ascii="Times New Roman" w:cs="Times New Roman" w:eastAsia="Times New Roman" w:hAnsi="Times New Roman"/>
          <w:sz w:val="18"/>
          <w:szCs w:val="18"/>
          <w:color w:val="auto"/>
        </w:rPr>
        <w:t>” has the meaning provided in the Interim DIP Order, as may be modified in the Final DIP Order.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DIP Guarantors</w:t>
      </w:r>
      <w:r>
        <w:rPr>
          <w:rFonts w:ascii="Times New Roman" w:cs="Times New Roman" w:eastAsia="Times New Roman" w:hAnsi="Times New Roman"/>
          <w:sz w:val="18"/>
          <w:szCs w:val="18"/>
          <w:color w:val="auto"/>
        </w:rPr>
        <w:t>” means, collectively, (a) the Parent; (b) the Twin Manager; (c) each Twin Subsidiary Guarantor; and (d) each entity designated as a “Guarantor” or “Additional Guarantor” under the Twin Prepetition Notes Documents. Notwithstanding the foregoing, and notwithstanding anything to the contrary in this Agreement, SEEDS OF COMPASSION FUND, INC. shall not be a Twin DIP Guarantor hereunder and shall not have any of the obligations of a Twin DIP Guarantor hereunder.</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DIP Lender</w:t>
      </w:r>
      <w:r>
        <w:rPr>
          <w:rFonts w:ascii="Times New Roman" w:cs="Times New Roman" w:eastAsia="Times New Roman" w:hAnsi="Times New Roman"/>
          <w:sz w:val="18"/>
          <w:szCs w:val="18"/>
          <w:color w:val="auto"/>
        </w:rPr>
        <w:t>” means each financial institution from time to time party hereto as a “Twin DIP Lender,” together with its respective successors and permitted assigns.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DIP Lien</w:t>
      </w:r>
      <w:r>
        <w:rPr>
          <w:rFonts w:ascii="Times New Roman" w:cs="Times New Roman" w:eastAsia="Times New Roman" w:hAnsi="Times New Roman"/>
          <w:sz w:val="18"/>
          <w:szCs w:val="18"/>
          <w:color w:val="auto"/>
        </w:rPr>
        <w:t>” has the meaning provided in the Interim DIP Order, as may be modified in the Final DIP Order.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DIP Loan Party</w:t>
      </w:r>
      <w:r>
        <w:rPr>
          <w:rFonts w:ascii="Times New Roman" w:cs="Times New Roman" w:eastAsia="Times New Roman" w:hAnsi="Times New Roman"/>
          <w:sz w:val="18"/>
          <w:szCs w:val="18"/>
          <w:color w:val="auto"/>
        </w:rPr>
        <w:t>” means the Twin DIP Borrower and each Twin DIP Guarantor.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DIP Obligations</w:t>
      </w:r>
      <w:r>
        <w:rPr>
          <w:rFonts w:ascii="Times New Roman" w:cs="Times New Roman" w:eastAsia="Times New Roman" w:hAnsi="Times New Roman"/>
          <w:sz w:val="18"/>
          <w:szCs w:val="18"/>
          <w:color w:val="auto"/>
        </w:rPr>
        <w:t>” means all obligations of every nature of the Twin DIP Borrower and each other Twin DIP Loan Party under this Agreement and the other applicable DIP Loan Documents, including, without limitation, any liability of such Twin DIP Loan Party on any claim, whether or not the right to payment in respect of such claim is reduced to judgment, liquidated, unliquidated, fixed or contingent, matured, disputed, undisputed, legal, equitable, secured or unsecured, and whether or not such claim is discharged, stayed or otherwise affected by any bankruptcy, insolvency, reorganization or other similar proceeding. Without limiting the generality of the foregoing, the Twin DIP Obligations of the Twin DIP Loan Parties under this Agreement include (a) the obligation to pay principal, interest, charges, expenses, fees, attorneys’ fees and disbursements, indemnities and other amounts payable by the Twin DIP Borrower under any DIP Loan Document and (b) the obligation to reimburse any amount in respect of any of the foregoing that the Twin DIP Lender, in its sole discretion, may elect to pay or advance on behalf of any Twin DIP Loan Party.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Guaranty</w:t>
      </w:r>
      <w:r>
        <w:rPr>
          <w:rFonts w:ascii="Times New Roman" w:cs="Times New Roman" w:eastAsia="Times New Roman" w:hAnsi="Times New Roman"/>
          <w:sz w:val="18"/>
          <w:szCs w:val="18"/>
          <w:color w:val="auto"/>
        </w:rPr>
        <w:t xml:space="preserve">” means the Parent and Subsidiary Guaranty substantially in the form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executed and delivered by the Twin DIP Guarantors on the Closing Date, together with each joinder agreement and supplement executed and delivered in connection therewith, as the same may be amended, restated, supplemented, or otherwise modified from time to time.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Manager</w:t>
      </w:r>
      <w:r>
        <w:rPr>
          <w:rFonts w:ascii="Times New Roman" w:cs="Times New Roman" w:eastAsia="Times New Roman" w:hAnsi="Times New Roman"/>
          <w:sz w:val="18"/>
          <w:szCs w:val="18"/>
          <w:color w:val="auto"/>
        </w:rPr>
        <w:t>” has the meaning provided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Noteholders</w:t>
      </w:r>
      <w:r>
        <w:rPr>
          <w:rFonts w:ascii="Times New Roman" w:cs="Times New Roman" w:eastAsia="Times New Roman" w:hAnsi="Times New Roman"/>
          <w:sz w:val="18"/>
          <w:szCs w:val="18"/>
          <w:color w:val="auto"/>
        </w:rPr>
        <w:t>” means the holders of the Twin Prepetition Notes.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Roll-Up Reservation</w:t>
      </w:r>
      <w:r>
        <w:rPr>
          <w:rFonts w:ascii="Times New Roman" w:cs="Times New Roman" w:eastAsia="Times New Roman" w:hAnsi="Times New Roman"/>
          <w:sz w:val="18"/>
          <w:szCs w:val="18"/>
          <w:color w:val="auto"/>
        </w:rPr>
        <w:t>” shall have the meaning set forth in the DIP Order.</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Secured Parties</w:t>
      </w:r>
      <w:r>
        <w:rPr>
          <w:rFonts w:ascii="Times New Roman" w:cs="Times New Roman" w:eastAsia="Times New Roman" w:hAnsi="Times New Roman"/>
          <w:sz w:val="18"/>
          <w:szCs w:val="18"/>
          <w:color w:val="auto"/>
        </w:rPr>
        <w:t>” means, collectively, the DIP Agent, the Twin DIP Lenders, and each co-agent or sub-agent appointed by the DIP Agent from time to time pursuant to the terms of this Agreement, any other holder from time to time of any Twin DIP Obligations and, in each case, their respective successors and permitted assigns.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Segregated Account</w:t>
      </w:r>
      <w:r>
        <w:rPr>
          <w:rFonts w:ascii="Times New Roman" w:cs="Times New Roman" w:eastAsia="Times New Roman" w:hAnsi="Times New Roman"/>
          <w:sz w:val="18"/>
          <w:szCs w:val="18"/>
          <w:color w:val="auto"/>
        </w:rPr>
        <w:t>” has the meaning provided in Section 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Twin Subsidiary Guarantor</w:t>
      </w:r>
      <w:r>
        <w:rPr>
          <w:rFonts w:ascii="Times New Roman" w:cs="Times New Roman" w:eastAsia="Times New Roman" w:hAnsi="Times New Roman"/>
          <w:sz w:val="18"/>
          <w:szCs w:val="18"/>
          <w:color w:val="auto"/>
        </w:rPr>
        <w:t>” means each Subsidiary of the Twin DIP Borrower.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New York Uniform Commercial Code,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by reason of mandatory provisions of law, any or all of the attachment, perfection, priority, or remedies with respect to the DIP Lender’s Lien on any DIP Collateral is governed by the Uniform Commercial Code as enacted and in effect in a jurisdiction other than the State of New York, the term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enacted and in effect in such other jurisdiction solely for purposes of the provisions thereof relating to such attachment, perfection, priority, or remedies. To the extent that defined terms set forth herein shall have different meanings under different Articles under the Uniform Commercial Code, the meaning assigned to such defined term under Article 9 of the Uniform Commercial Code shall control.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UMB</w:t>
      </w:r>
      <w:r>
        <w:rPr>
          <w:rFonts w:ascii="Times New Roman" w:cs="Times New Roman" w:eastAsia="Times New Roman" w:hAnsi="Times New Roman"/>
          <w:sz w:val="18"/>
          <w:szCs w:val="18"/>
          <w:color w:val="auto"/>
        </w:rPr>
        <w:t>” means UMB Bank, N.A.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Variance</w:t>
      </w:r>
      <w:r>
        <w:rPr>
          <w:rFonts w:ascii="Times New Roman" w:cs="Times New Roman" w:eastAsia="Times New Roman" w:hAnsi="Times New Roman"/>
          <w:sz w:val="18"/>
          <w:szCs w:val="18"/>
          <w:color w:val="auto"/>
        </w:rPr>
        <w:t>” has the meaning provided in Section 5(b).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Variance Report</w:t>
      </w:r>
      <w:r>
        <w:rPr>
          <w:rFonts w:ascii="Times New Roman" w:cs="Times New Roman" w:eastAsia="Times New Roman" w:hAnsi="Times New Roman"/>
          <w:sz w:val="18"/>
          <w:szCs w:val="18"/>
          <w:color w:val="auto"/>
        </w:rPr>
        <w:t>” has the meaning provided in Section 5(b).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Variance Report Date</w:t>
      </w:r>
      <w:r>
        <w:rPr>
          <w:rFonts w:ascii="Times New Roman" w:cs="Times New Roman" w:eastAsia="Times New Roman" w:hAnsi="Times New Roman"/>
          <w:sz w:val="18"/>
          <w:szCs w:val="18"/>
          <w:color w:val="auto"/>
        </w:rPr>
        <w:t>” has the meaning provided in Section 5(b).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Variance Testing Period</w:t>
      </w:r>
      <w:r>
        <w:rPr>
          <w:rFonts w:ascii="Times New Roman" w:cs="Times New Roman" w:eastAsia="Times New Roman" w:hAnsi="Times New Roman"/>
          <w:sz w:val="18"/>
          <w:szCs w:val="18"/>
          <w:color w:val="auto"/>
        </w:rPr>
        <w:t>” means, starting the second full week following the entry of the Interim DIP Order, each rolling four-week period ending on each Sunday thereafter.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has the meaning provided in Section 8(c).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The Commitment and Credit Extension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3" w:lineRule="auto"/>
        <w:tabs>
          <w:tab w:leader="none" w:pos="15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 and Borrowing</w:t>
      </w:r>
      <w:r>
        <w:rPr>
          <w:rFonts w:ascii="Times New Roman" w:cs="Times New Roman" w:eastAsia="Times New Roman" w:hAnsi="Times New Roman"/>
          <w:sz w:val="18"/>
          <w:szCs w:val="18"/>
          <w:color w:val="auto"/>
        </w:rPr>
        <w:t xml:space="preserve">. Subject to the terms and conditions set forth herein and in the DIP Order, (i) the FBG DIP Lenders agree to make, during the Commitment Period, the FBG New Money Term Loans to the FBG DIP Borrowers (w) on the Closing Date, subject to the satisfaction (or waiver) of the Initial Draw Conditions in an aggregate principal amount not to exceed $28,800,000, (x) on the Second Borrowing Date, subject to the satisfaction (or waiver) of the Second Draw Conditions in an aggregate principal amount not to exceed $1,200,000, and (y) on the Third Borrowing Date, subject to the satisfaction (or waiver) of the Third Draw Conditions in an aggregate principal amount not to exceed $16,140,000; and (ii) the Twin DIP Lenders agree to make, during the Commitment Period, the Twin New Money Term Loans to the Twin DIP Borrowers (w) on the Closing Date, subject to the satisfaction (or waiver) of the Initial Draw Conditions in an aggregate principal amount not to exceed $19,200,000, (x) on the Second Borrowing Date, subject to the satisfaction (or waiver) of the Second Draw Conditions in an aggregate principal amount not to exceed $800,000, and (y) on the Third Borrowing Date, subject to the satisfaction (or waiver) of the Third Draw Conditions in an aggregate principal amount not to exceed $10,760,000;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Borrowing (x) shall be denominated in U.S. Dollars and (y) shall be in an aggregate principal amount that is (I) an integral multiple of $500,000 and not less than $500,000 or (II) if less, equal to the remaining available balance of the applicable Commitment at such time. Amounts repaid under the DIP Facility may not be reborrowed.</w:t>
      </w:r>
    </w:p>
    <w:p>
      <w:pPr>
        <w:spacing w:after="0" w:line="189" w:lineRule="exact"/>
        <w:rPr>
          <w:rFonts w:ascii="Times New Roman" w:cs="Times New Roman" w:eastAsia="Times New Roman" w:hAnsi="Times New Roman"/>
          <w:sz w:val="18"/>
          <w:szCs w:val="18"/>
          <w:color w:val="auto"/>
        </w:rPr>
      </w:pPr>
    </w:p>
    <w:p>
      <w:pPr>
        <w:jc w:val="both"/>
        <w:ind w:firstLine="1304"/>
        <w:spacing w:after="0" w:line="251" w:lineRule="auto"/>
        <w:tabs>
          <w:tab w:leader="none" w:pos="155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FBG Segregated Account</w:t>
      </w:r>
      <w:r>
        <w:rPr>
          <w:rFonts w:ascii="Times New Roman" w:cs="Times New Roman" w:eastAsia="Times New Roman" w:hAnsi="Times New Roman"/>
          <w:sz w:val="18"/>
          <w:szCs w:val="18"/>
          <w:color w:val="auto"/>
        </w:rPr>
        <w:t>. Subject to Schedule 5(c), all proceeds of the FBG DIP Facility shall be deposited into a segregated account of the FBG DIP Borrowers maintained at East West Bank (the “</w:t>
      </w:r>
      <w:r>
        <w:rPr>
          <w:rFonts w:ascii="Times New Roman" w:cs="Times New Roman" w:eastAsia="Times New Roman" w:hAnsi="Times New Roman"/>
          <w:sz w:val="18"/>
          <w:szCs w:val="18"/>
          <w:u w:val="single" w:color="auto"/>
          <w:color w:val="auto"/>
        </w:rPr>
        <w:t>FBG Segregated Account</w:t>
      </w:r>
      <w:r>
        <w:rPr>
          <w:rFonts w:ascii="Times New Roman" w:cs="Times New Roman" w:eastAsia="Times New Roman" w:hAnsi="Times New Roman"/>
          <w:sz w:val="18"/>
          <w:szCs w:val="18"/>
          <w:color w:val="auto"/>
        </w:rPr>
        <w:t>”), which will be subject to the FBG DIP Liens on a first priority basis and subject to a Segregated Account Control Agreement in favor of the DIP Agent. The terms of the Segregated Account Control Agreement for the FBG Segregated Account shall permit the FBG DIP Loan Parties to retain full use of the FBG Segregated Account consistent with the Approved Budget, and any restrictions in favor of the DIP Agent under such Segregated Account Control Agreement shall not take effect unless an Event of Default has occurred or is occurring and a “notice of exclusive control” (or similar such term) has been delivered in accordance with the terms of the applicable Segregated Account Control Agreement). On each funding date, the FBG DIP Lenders will advance funds to the DIP Agent and the DIP Agent will, subject to the terms and conditions of this Agreement, disburse such funds to the relevant Segregated Account in accordance with the wire transfer instructions provided in the applicable Notice of Borrowing; provided the DIP Agent shall not have any obligations or liability (x) with respect to the wire instructions for any account set forth in a Notice of Borrowing or (y) to confirm whether the account specified in any Notice of Borrowing is a Segregated Account. Funds in the FBG Segregated Account may be drawn by the FBG DIP Borrowers consistent with the Approved Budget (taking into account any Permitted Variances); provided that, in any calendar month, the aggregate amount withdrawn by the FBG DIP Borrowers from the FBG Segregated Account shall not exceed the Monthly Segregated Account Withdrawal Limit applicable to such calendar month for the FBG DIP Loan Parties (clauses (i) and (ii) of which Monthly Segregated Account Withdrawal Limit, shall, for the avoidance of doubt, be automatically reduced in accordance with the definition thereof, on a dollar-for-dollar basis, by the sum of (x) applicable Drawn Excess Amount, if any, for the immediately preceding calendar month plus (y) any remaining unused Drawn Excess Amount from any prior calendar month plus (z) the available cash on hand, calculated on a consolidated basis for all Loan Parties, at such time in excess of $5,000,000), as determined by reference to the Approved Budget then in effect, without the prior written consent of the Required FBG Lenders or the Specified Financial Advisor. For the avoidance of doubt, in no event shall the DIP Agent have any duty, liability or obligation with respect to the calculation or monitoring of the Monthly Segregated Account Withdrawal Limit or the Drawn Excess Amounts. Once withdrawn from the FBG Segregated Account, the funds shall continue to be FBG DIP Collateral until such funds are first used by the FBG Loan Parties. For the avoidance of doubt, the FBG Segregated Account and all funds deposited therein shall be subject only to (i) the Carve-Out, (ii) the FBG DIP Liens, and (iii) the FBG Adequate Protection Liens, and shall not be subject to any other liens, claims, or interests (including, without limitation, any claims, liens, or interests arising under or related to the Management Agreements). The proceeds of the FBG New Money Term Loans shall be used only to pay the obligations of the FBG DIP Loan Parties, subject to the Stipulated Allocation.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both"/>
        <w:ind w:firstLine="1304"/>
        <w:spacing w:after="0" w:line="251" w:lineRule="auto"/>
        <w:tabs>
          <w:tab w:leader="none" w:pos="1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Twin Segregated Account</w:t>
      </w:r>
      <w:r>
        <w:rPr>
          <w:rFonts w:ascii="Times New Roman" w:cs="Times New Roman" w:eastAsia="Times New Roman" w:hAnsi="Times New Roman"/>
          <w:sz w:val="18"/>
          <w:szCs w:val="18"/>
          <w:color w:val="auto"/>
        </w:rPr>
        <w:t>. Subject to Schedule 5(c), all proceeds of the Twin DIP Facility shall be deposited into a segregated account of the Twin DIP Borrower maintained at East West Bank (the “</w:t>
      </w:r>
      <w:r>
        <w:rPr>
          <w:rFonts w:ascii="Times New Roman" w:cs="Times New Roman" w:eastAsia="Times New Roman" w:hAnsi="Times New Roman"/>
          <w:sz w:val="18"/>
          <w:szCs w:val="18"/>
          <w:u w:val="single" w:color="auto"/>
          <w:color w:val="auto"/>
        </w:rPr>
        <w:t>Twin Segregated Account</w:t>
      </w:r>
      <w:r>
        <w:rPr>
          <w:rFonts w:ascii="Times New Roman" w:cs="Times New Roman" w:eastAsia="Times New Roman" w:hAnsi="Times New Roman"/>
          <w:sz w:val="18"/>
          <w:szCs w:val="18"/>
          <w:color w:val="auto"/>
        </w:rPr>
        <w:t>” and, together with the FBG Segregated Account, the “</w:t>
      </w:r>
      <w:r>
        <w:rPr>
          <w:rFonts w:ascii="Times New Roman" w:cs="Times New Roman" w:eastAsia="Times New Roman" w:hAnsi="Times New Roman"/>
          <w:sz w:val="18"/>
          <w:szCs w:val="18"/>
          <w:u w:val="single" w:color="auto"/>
          <w:color w:val="auto"/>
        </w:rPr>
        <w:t>Segregated Accounts</w:t>
      </w:r>
      <w:r>
        <w:rPr>
          <w:rFonts w:ascii="Times New Roman" w:cs="Times New Roman" w:eastAsia="Times New Roman" w:hAnsi="Times New Roman"/>
          <w:sz w:val="18"/>
          <w:szCs w:val="18"/>
          <w:color w:val="auto"/>
        </w:rPr>
        <w:t>”), which will be subject to the Twin DIP Liens on a first priority basis and subject to a Segregated Account Control Agreement in favor of the DIP Agent. The terms of the Segregated Account Control Agreement for the Twin Segregated Account shall permit the Twin DIP Loan Parties to retain full use of the Twin Segregated Account consistent with the Approved Budget, and any restrictions in favor of the DIP Agent under such Segregated Account Control Agreement shall not take effect unless an Event of Default has occurred or is occurring and a “notice of exclusive control” (or similar such term) has been delivered in accordance with the terms of the applicable Segregated Account Control Agreement. On each funding date, the Twin DIP Lenders will advance funds to the DIP Agent and the DIP Agent will, subject to the terms and conditions of this Agreement, disburse such funds to the relevant Segregated Account in accordance with the wire transfer instructions provided in the applicable Notice of Borrowing; provided the DIP Agent shall not have any obligations or liability (x) with respect to the wire instructions for any account set forth in a Notice of Borrowing or (y) to confirm whether the account specified in any Notice of Borrowing is a Segregated Account. Funds in the Twin Segregated Account may be drawn by the Twin DIP Borrower consistent with the Approved Budget (taking into account any Permitted Variances); provided that, in any calendar month, the aggregate amount withdrawn by the Twin DIP Borrower from the Twin Segregated Account shall not exceed the Monthly Segregated Account Withdrawal Limit applicable to such calendar month for the Twin DIP Loan Parties (clauses (i) and (ii) of which Monthly Segregated Account Withdrawal Limit, shall, for the avoidance of doubt, be automatically reduced in accordance with the definition thereof, on a dollar-for-dollar basis, by the sum of (x) applicable Drawn Excess Amount, if any, for the immediately preceding calendar month plus (y) any remaining unused Drawn Excess Amount from any prior calendar month plus (z) the available cash on hand, calculated on a consolidated basis for all Loan Parties, at such time in excess of $5,000,000), as determined by reference to the Approved Budget then in effect, without the prior written consent of the Required Twin Lenders or the Specified Financial Advisor. For the avoidance of doubt, in no event shall the DIP Agent have any duty, liability or obligation with respect to the calculation or monitoring of the Monthly Segregated Account Withdrawal Limit or the Drawn Excess Amounts. Once withdrawn from the Twin Segregated Account, the funds shall continue to be Twin DIP Collateral until such funds are first used by the Twin Loan Parties. For the avoidance of doubt, the Twin Segregated Account and all funds deposited therein shall be subject only to (i) the Carve-Out, (ii) the Twin DIP Liens, and (iii) the Twin Adequate Protection Liens, and shall not be subject to any other liens, claims, or interests (including, without limitation, any claims, liens, or interests arising under or related to the Management Agreements). The proceeds of the Twin New Money Term Loans shall be used only to pay the obligations of the Twin DIP Loan Parties, subject to the Stipulated Allocation.</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1" w:name="page42"/>
    <w:bookmarkEnd w:id="41"/>
    <w:p>
      <w:pPr>
        <w:jc w:val="both"/>
        <w:ind w:firstLine="1304"/>
        <w:spacing w:after="0" w:line="253" w:lineRule="auto"/>
        <w:tabs>
          <w:tab w:leader="none" w:pos="155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Each borrowing of New Money Term Loans shall be made upon the Borrower’s irrevocable notice to the DIP Agent of such borrowing. Each such notice (other than the notice delivered in connection with the borrowing on the Closing Date) must be received by the DIP Agent not later than 12:00 p.m. noon, New York City time, three (3) Business Days before the date of the proposed Borrowing. Each such notice (each, a “</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shall be irrevocable and shall specify the following information: (i) the date of such Borrowing, which shall be a Business Day; (ii) whether such Borrowing consists of FBG New Money Term Loans and/or Twin New Money Term Loans; (iii) the aggregate principal amount of each such Borrowing and the amount to be funded by the DIP Lenders; (iv) wire instructions for the applicable Borrower’s account (which must be a Segregated Account, as specified by the applicable Borrower (and the DIP Agent shall not have any obligation with respect thereto)) to which borrowed funds are to be transferred by the DIP Agent upon receipt from the DIP Lenders; and (v) a statement certified by an authorized officer of the applicable Borrower that the conditions set forth in Section 4(a), (b) or (c), as applicable, will be satisfied (or waived by the DIP Agent (at the written direction of the Required Lenders)) as of the date the requested Borrowing is made.</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of Funds</w:t>
      </w:r>
      <w:r>
        <w:rPr>
          <w:rFonts w:ascii="Times New Roman" w:cs="Times New Roman" w:eastAsia="Times New Roman" w:hAnsi="Times New Roman"/>
          <w:sz w:val="18"/>
          <w:szCs w:val="18"/>
          <w:color w:val="auto"/>
        </w:rPr>
        <w:t>. Following receipt of a Notice of Borrowing (other than any Notice of Borrowing delivered in connection with a borrowing on or about the Closing Date), the DIP Agent shall promptly notify each DIP Lender of the amount of its Pro Rata Share of the New Money Term Loans requested. In the case of each Borrowing, each DIP Lender shall make the amount of its New Money Term Loan available to the DIP Agent in immediately available funds not later than 12:00 p.m. noon, New York City time on the Business Day specified in the applicable Notice of Borrowing. Upon satisfaction (or waiver by the DIP Agent (at the written direction of the Required Lenders)) of the applicable conditions set forth in Section 4(a), (b) or (c), the DIP Agent shall make all funds so received available to the Borrower in like funds as received by the DIP Agent by wire transfer of such funds, in each case in accordance with instructions provided to the DIP Agent by the applicable Borrower in the Notice of Borrowing, and the DIP Agent shall not have any duty, liability or obligation with respect to such wire instructions. All DIP Loans shall be made by the DIP Lenders proportionately to their respective Pro Rata Share of the Commitments. Notwithstanding anything to the contrary herein, if the DIP Agent does not receive funds sufficient to fund the requested Borrowing in full, the DIP Agent shall make available to the Borrower the aggregate amount of funds actually received from the DIP Lenders in respect of such Borrowing (without regard to any DIP Lender’s Pro Rata Share), and the Borrowing shall be deemed made in such lesser amount (it being understood and agreed that this sentence shall in no way limit the DIP Lenders’ obligations hereunder).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ind w:left="400" w:hanging="216"/>
        <w:spacing w:after="0"/>
        <w:tabs>
          <w:tab w:leader="none" w:pos="4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Roll-Up Term Loans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1" w:lineRule="auto"/>
        <w:tabs>
          <w:tab w:leader="none" w:pos="105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upon the occurrence of the Roll-Up Effective Time with respect to each Borrowing of New Money Term Loans, without any further action by any party to this Agreement, the Bankruptcy Court or any other Person other than as set forth in this Agreement, to the extent set forth in the applicable DIP Order and based on written instructions prepared by the Borrowers in coordination with the DIP Lenders and delivered by the Borrowers to the DIP Agent (which instructions may be included in the applicable Notice of Borrowing) prior to such Roll-Up Effective Time, specifying the amount of Roll-Up Loans to be deemed issued to each DIP Lender in connection with such Borrowing (which instruction the DIP Agent shall be entitled to rely upon conclusively and without independent verification or calculation), the applicable portion of each DIP Lender’s total Roll-Up Loan Amount attributable to such Borrowing (which shall be equal to three dollars of Roll-Up Loan Amount for every dollar of New Money Term Loans funded in such Borrowing) shall be deemed to have been borrowed by the applicable Borrower (such deemed borrowings, collectively, the “</w:t>
      </w:r>
      <w:r>
        <w:rPr>
          <w:rFonts w:ascii="Times New Roman" w:cs="Times New Roman" w:eastAsia="Times New Roman" w:hAnsi="Times New Roman"/>
          <w:sz w:val="18"/>
          <w:szCs w:val="18"/>
          <w:u w:val="single" w:color="auto"/>
          <w:color w:val="auto"/>
        </w:rPr>
        <w:t>Roll-Up Loans</w:t>
      </w:r>
      <w:r>
        <w:rPr>
          <w:rFonts w:ascii="Times New Roman" w:cs="Times New Roman" w:eastAsia="Times New Roman" w:hAnsi="Times New Roman"/>
          <w:sz w:val="18"/>
          <w:szCs w:val="18"/>
          <w:color w:val="auto"/>
        </w:rPr>
        <w:t xml:space="preserve">”) and used to repay a commensurate amount of such DIP Lender’s Prepetition Class A-2 Secured Obligations. Such repayment shall be evidenced by the cancellation of the commensurate amount of Prepetition Class A-2 Secured Obligations pursuant to the Prepetition Indentures; provided that the borrowing of the applicable Roll-Up Loan Amount shall be deemed to occur on each Roll-Up Effective Time notwithstanding that the cancellation of the related Prepetition Class A-2 Notes has not been completed on such date. Subject to the terms and conditions set forth herein and in the applicable DIP Order, upon each Roll-Up Effective Time, the incremental Roll-Up Loans deemed issued in connection with the applicable Borrowing as of such Roll-Up Effective Time shall, from and after such Roll-Up Effective Time, be designated as such and administered hereunder. For the avoidance of doubt, Roll-Up Loans shall be deemed issued on an incremental basis corresponding to each Borrowing of New Term Loans, and the aggregate Roll-Up Loan Amount outstanding at any time shall not exceed three dollars for every dollar of aggregate New Money Term Loans funded through such date. Amounts of Roll-Up Loans that are issued or deemed issued under this Section 2(f) that are repaid or prepaid may not be reborrowed. Notwithstanding anything in this Agreement, including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as in effect from time to time, or any other Loan Document to the contrary, (a) the aggregate principal amount of each DIP Lender’s Roll-Up Loans shall not exceed such DIP Lender’s Roll-Up Loan Amount set forth on Schedule 1 and (b) the aggregate principal amount of all Roll-Up Loans of all DIP Lenders shall not exceed $230,700,000 at any time.</w:t>
      </w: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43" w:name="page44"/>
    <w:bookmarkEnd w:id="43"/>
    <w:p>
      <w:pPr>
        <w:jc w:val="both"/>
        <w:ind w:left="1300" w:firstLine="652"/>
        <w:spacing w:after="0" w:line="253" w:lineRule="auto"/>
        <w:tabs>
          <w:tab w:leader="none" w:pos="221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(1) each DIP Lender’s Roll-Up Loans under the FBG Roll-Up DIP Facility shall have claims and liens solely against the Loan Parties that were obligors under the FBG Prepetition Notes Documents and whose FBG Class A-2 Prepetition Secured Obligations are deemed repaid with the proceeds of such Roll-Up Loans in accordance with Section 2(f)(i); and (2) each DIP Lender’s Roll-Up Loans under the Twin Roll-Up DIP Facility shall have claims and liens solely against the Loan Parties that were obligors under the Twin Prepetition Notes Documents and whose Twin Class A-2 Prepetition Secured Obligations are deemed repaid with the proceeds of such Roll-Up Loans in accordance with Section 2(f)(i); provided that the Twin Junior Roll-Up Financing shall be junior to the Twin New Money Term Loans and the Twin Senior Roll-Up Financing in right of payment and lien priority (subject to the Twin Roll-Up Reservation with respect to the relative priority of the Twin Class A-2-I Notes and the Twin Class A-2-II Notes). The DIP Agent shall be entitled to conclusively rely on written direction of the Required Twin Lenders with respect to the resolution of the Twin Roll-Up Reservation.</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The aggregate principal amount of all the DIP Loans outstanding on the Maturity Date, together with all accrued and unpaid interest thereon, shall become due and payable in full on the Maturity Date.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and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176"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Subject to the provisions of Section 2(h)(ii), each DIP Loan shall bear interest on the outstanding principal amount thereof from the applicable date of Borrowing at a rate per annum equal to the Applicable Rate. Interest accruing on each DIP Loan shall be due and payable on the last Business Day of each calendar month after the Closing Date and on the Maturity Date. Notwithstanding the foregoing or anything to the contrary contained herein, on each date on which interest is to be paid in accordance with this Section 2(h)(i) (other than the Maturity Date), such interest shall be paid in kind on each such date by capitalizing and adding such interest to the then outstanding principal balance of the applicable DIP Loan (“</w:t>
      </w:r>
      <w:r>
        <w:rPr>
          <w:rFonts w:ascii="Times New Roman" w:cs="Times New Roman" w:eastAsia="Times New Roman" w:hAnsi="Times New Roman"/>
          <w:sz w:val="18"/>
          <w:szCs w:val="18"/>
          <w:u w:val="single" w:color="auto"/>
          <w:color w:val="auto"/>
        </w:rPr>
        <w:t>PIK Interest</w:t>
      </w:r>
      <w:r>
        <w:rPr>
          <w:rFonts w:ascii="Times New Roman" w:cs="Times New Roman" w:eastAsia="Times New Roman" w:hAnsi="Times New Roman"/>
          <w:sz w:val="18"/>
          <w:szCs w:val="18"/>
          <w:color w:val="auto"/>
        </w:rPr>
        <w:t>”). Any PIK Interest so capitalized shall be added to the outstanding principal amount of such DIP Loan on the relevant interest payment date and shall thereafter bear interest at the Applicable Rate as part of the principal amount of such DIP Loan. For the avoidance of doubt, all references herein and in any other DIP Loan Document to the “principal amount” of any DIP Loan shall include any PIK Interest that has been capitalized and added to such principal amount. Interest at the Default Rate, if applicable, shall be payable in cash and shall not be capitalized as PIK Interest.</w:t>
      </w:r>
    </w:p>
    <w:p>
      <w:pPr>
        <w:spacing w:after="0" w:line="194" w:lineRule="exact"/>
        <w:rPr>
          <w:sz w:val="20"/>
          <w:szCs w:val="20"/>
          <w:color w:val="auto"/>
        </w:rPr>
      </w:pPr>
    </w:p>
    <w:p>
      <w:pPr>
        <w:jc w:val="both"/>
        <w:ind w:left="1300" w:firstLine="652"/>
        <w:spacing w:after="0" w:line="258" w:lineRule="auto"/>
        <w:tabs>
          <w:tab w:leader="none" w:pos="221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Notwithstanding the foregoing clause (i), if an Event of Default has occurred and is continuing, the Borrowers shall pay interest on past due amounts owing by them hereunder at a rate per annum equal to the Default Rate to the fullest extent permitted by law, from the date of such Event of Default until, in each case, such Event of Default has been remedied to the satisfaction of the DIP Agent (at the written direction of the Required Lenders) or such Event of Default has been waived by the Required Lenders. Accrued and unpaid interest on past due amounts (including interest on past due interest) shall be due and payable on demand in cash.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both"/>
        <w:ind w:left="180" w:firstLine="652"/>
        <w:spacing w:after="0" w:line="255" w:lineRule="auto"/>
        <w:tabs>
          <w:tab w:leader="none" w:pos="115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Upfront Fees</w:t>
      </w:r>
      <w:r>
        <w:rPr>
          <w:rFonts w:ascii="Times New Roman" w:cs="Times New Roman" w:eastAsia="Times New Roman" w:hAnsi="Times New Roman"/>
          <w:sz w:val="18"/>
          <w:szCs w:val="18"/>
          <w:color w:val="auto"/>
        </w:rPr>
        <w:t>. Each Borrower agrees to pay, for the ratable account of each DIP Lender, an upfront fee, in an aggregate amount equal to 2.5% of the New Money Term Loans funded under this Agreement on each Borrowing Date (the “</w:t>
      </w:r>
      <w:r>
        <w:rPr>
          <w:rFonts w:ascii="Times New Roman" w:cs="Times New Roman" w:eastAsia="Times New Roman" w:hAnsi="Times New Roman"/>
          <w:sz w:val="18"/>
          <w:szCs w:val="18"/>
          <w:u w:val="single" w:color="auto"/>
          <w:color w:val="auto"/>
        </w:rPr>
        <w:t>Upfront Fee</w:t>
      </w:r>
      <w:r>
        <w:rPr>
          <w:rFonts w:ascii="Times New Roman" w:cs="Times New Roman" w:eastAsia="Times New Roman" w:hAnsi="Times New Roman"/>
          <w:sz w:val="18"/>
          <w:szCs w:val="18"/>
          <w:color w:val="auto"/>
        </w:rPr>
        <w:t>”), which shall be deemed to be fully earned upon the funding of the New Money Term Loans on each applicable Borrowing Date (including on the Closing Date upon the initial funding of the New Money Term Loans) and shall be payable in kind by capitalizing and adding such amount to the then outstanding principal amount of the applicable New Money Term Loans on such Borrowing Date. For the avoidance of doubt, all references herein and in any other DIP Loan Documents to the “principal amount” of any DIP Loan shall include any Upfront Fee that has been capitalized and added to such principal amount.</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Exit Fee</w:t>
      </w:r>
      <w:r>
        <w:rPr>
          <w:rFonts w:ascii="Times New Roman" w:cs="Times New Roman" w:eastAsia="Times New Roman" w:hAnsi="Times New Roman"/>
          <w:sz w:val="18"/>
          <w:szCs w:val="18"/>
          <w:color w:val="auto"/>
        </w:rPr>
        <w:t>. Upon the payment, repayment, prepayment, refinancing, satisfaction, or other discharge of any portion of the Obligations that are not Roll-Up Financing (including as a result of acceleration or stated maturity) or the termination of any Commitments (including as a result of acceleration or stated maturity, but other than as a result of the borrowing of the DIP Loans), an exit fee (the “</w:t>
      </w:r>
      <w:r>
        <w:rPr>
          <w:rFonts w:ascii="Times New Roman" w:cs="Times New Roman" w:eastAsia="Times New Roman" w:hAnsi="Times New Roman"/>
          <w:sz w:val="18"/>
          <w:szCs w:val="18"/>
          <w:u w:val="single" w:color="auto"/>
          <w:color w:val="auto"/>
        </w:rPr>
        <w:t>Exit Fee</w:t>
      </w:r>
      <w:r>
        <w:rPr>
          <w:rFonts w:ascii="Times New Roman" w:cs="Times New Roman" w:eastAsia="Times New Roman" w:hAnsi="Times New Roman"/>
          <w:sz w:val="18"/>
          <w:szCs w:val="18"/>
          <w:color w:val="auto"/>
        </w:rPr>
        <w:t xml:space="preserve">”) equal to 2.5% of the aggregate principal amount of such Obligations so paid, repaid, prepaid, refinanced, satisfied or discharged, or the amount of Commitments so terminated, as applicable, shall be due and payable to the DIP Agent, for the ratable account of the applicable DIP Lenders, at the time of such payment or termination. Such Exit Fee shall (x) in the event of payment in full of the DIP Loans or a sale of all or substantially all of the Loan Parties’ assets or equity to a third party (other than pursuant to a Credit Bid of the Obligations and, if applicable, the Prepetition Secured Obligations), be payable in cash from the proceeds of such sale; or (y) in all other cases, be payable in kind by capitalizing and adding such amount to the outstanding principal amount of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Exit Fee is paid in kind, the Exit Fee shall be increased to 7.0% of the aggregate principal amount of the Obligations so paid, repaid, prepaid, refinanced, satisfied or discharged, or the amount of Commitments so terminated, as applicable. For the avoidance of doubt, no Exit Fee shall be payable with respect to any payment, repayment, prepayment, refinancing, satisfaction, or other discharge of Obligations that constitute Roll-Up Financing.</w:t>
      </w:r>
    </w:p>
    <w:p>
      <w:pPr>
        <w:spacing w:after="0" w:line="187"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Backstop Commitment Fee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80" w:firstLine="1300"/>
        <w:spacing w:after="0" w:line="256" w:lineRule="auto"/>
        <w:tabs>
          <w:tab w:leader="none" w:pos="177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FBG DIP Borrowers agree to pay to the FBG Backstop Parties, for the ratable account of each FBG Backstop Party (based on its respective FBG Commitments upon the Closing Date before giving effect to the draw on that date), a backstop fee, in an aggregate amount equal to 10.0% of the aggregate principal amount of the FBG Commitments of each FBG Backstop Party before giving effect to the draw on that date (the “</w:t>
      </w:r>
      <w:r>
        <w:rPr>
          <w:rFonts w:ascii="Times New Roman" w:cs="Times New Roman" w:eastAsia="Times New Roman" w:hAnsi="Times New Roman"/>
          <w:sz w:val="18"/>
          <w:szCs w:val="18"/>
          <w:u w:val="single" w:color="auto"/>
          <w:color w:val="auto"/>
        </w:rPr>
        <w:t>FBG Backstop Fee</w:t>
      </w:r>
      <w:r>
        <w:rPr>
          <w:rFonts w:ascii="Times New Roman" w:cs="Times New Roman" w:eastAsia="Times New Roman" w:hAnsi="Times New Roman"/>
          <w:sz w:val="18"/>
          <w:szCs w:val="18"/>
          <w:color w:val="auto"/>
        </w:rPr>
        <w:t>”), which fee shall be earned in full upon the initial funding of the FBG New Money Term Loans on the Closing Date and shall be payable in kind to the FBG Backstop Parties by capitalizing and adding such amount to the outstanding principal amount of the FBG New Money Term Loans of each FBG Backstop Party on the Closing Date; and</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45" w:name="page46"/>
    <w:bookmarkEnd w:id="45"/>
    <w:p>
      <w:pPr>
        <w:jc w:val="both"/>
        <w:ind w:left="1300" w:firstLine="1300"/>
        <w:spacing w:after="0" w:line="274" w:lineRule="auto"/>
        <w:tabs>
          <w:tab w:leader="none" w:pos="2882"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Twin DIP Borrower agrees to pay to the Twin Backstop Parties, for the ratable account of each Twin Backstop Party (based on its respective Twin Commitments upon the Closing Date before giving effect to the draw on that date), a backstop fee, in an aggregate amount equal to 10.0% of the maximum aggregate principal amount of the Twin Commitments of each Twin Backstop Party before giving effect to the draw on that date (the “</w:t>
      </w:r>
      <w:r>
        <w:rPr>
          <w:rFonts w:ascii="Times New Roman" w:cs="Times New Roman" w:eastAsia="Times New Roman" w:hAnsi="Times New Roman"/>
          <w:sz w:val="17"/>
          <w:szCs w:val="17"/>
          <w:u w:val="single" w:color="auto"/>
          <w:color w:val="auto"/>
        </w:rPr>
        <w:t>Twin Backstop Fee</w:t>
      </w:r>
      <w:r>
        <w:rPr>
          <w:rFonts w:ascii="Times New Roman" w:cs="Times New Roman" w:eastAsia="Times New Roman" w:hAnsi="Times New Roman"/>
          <w:sz w:val="17"/>
          <w:szCs w:val="17"/>
          <w:color w:val="auto"/>
        </w:rPr>
        <w:t>”), which fee shall be earned in full upon the initial funding of the Twin New Money Term Loans on the Closing Date and shall be payable in kind to the Twin Backstop Parties by capitalizing and adding such amount to the outstanding principal amount of the Twin New Money Term Loans of each Twin Backstop Party on the Closing Date.</w:t>
      </w:r>
    </w:p>
    <w:p>
      <w:pPr>
        <w:spacing w:after="0" w:line="172" w:lineRule="exact"/>
        <w:rPr>
          <w:rFonts w:ascii="Times New Roman" w:cs="Times New Roman" w:eastAsia="Times New Roman" w:hAnsi="Times New Roman"/>
          <w:sz w:val="17"/>
          <w:szCs w:val="17"/>
          <w:color w:val="auto"/>
        </w:rPr>
      </w:pPr>
    </w:p>
    <w:p>
      <w:pPr>
        <w:ind w:left="2260" w:hanging="308"/>
        <w:spacing w:after="0"/>
        <w:tabs>
          <w:tab w:leader="none" w:pos="22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Agent Fees</w:t>
      </w:r>
      <w:r>
        <w:rPr>
          <w:rFonts w:ascii="Times New Roman" w:cs="Times New Roman" w:eastAsia="Times New Roman" w:hAnsi="Times New Roman"/>
          <w:sz w:val="18"/>
          <w:szCs w:val="18"/>
          <w:color w:val="auto"/>
        </w:rPr>
        <w:t>. The Borrowers agree to pay the DIP Agent the fees set forth in the Agent Fee Letter.</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30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hereunder shall be computed on the basis of a year of 360 days, and shall be payable for the actual number of days elapsed (including the first day but excluding the last day).</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Prepayments and Commitment Reductions</w:t>
      </w:r>
      <w:r>
        <w:rPr>
          <w:rFonts w:ascii="Times New Roman" w:cs="Times New Roman" w:eastAsia="Times New Roman" w:hAnsi="Times New Roman"/>
          <w:sz w:val="18"/>
          <w:szCs w:val="18"/>
          <w:color w:val="auto"/>
        </w:rPr>
        <w:t>. The Borrowers may voluntarily terminate the Commitments and prepay the DIP Loans in whole (but not in part) at any time without premium or penalty upon at least three (3) Business Days’ prior written notice (or such shorter period as agreed by the DIP Agent (at the written direction of the Required Lenders)). Any such notice shall specify the proposed prepayment date, and on such date the Borrowers shall repay in full in cash all outstanding DIP Loans, together with all accrued and unpaid interest thereon and all other Obligations (including Exit Fee) then due and payable, and the Commitments shall be permanently terminated.</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Reduction of Commitments</w:t>
      </w:r>
      <w:r>
        <w:rPr>
          <w:rFonts w:ascii="Times New Roman" w:cs="Times New Roman" w:eastAsia="Times New Roman" w:hAnsi="Times New Roman"/>
          <w:sz w:val="18"/>
          <w:szCs w:val="18"/>
          <w:color w:val="auto"/>
        </w:rPr>
        <w:t>. The Commitment shall automatically be permanently reduced on each date of Borrowing of DIP Loans (after giving effect to the DIP Loans incurred on such date) by an amount equal to the aggregate principal amount of the DIP Loans incurred on such Borrowing date.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Commitment</w:t>
      </w:r>
      <w:r>
        <w:rPr>
          <w:rFonts w:ascii="Times New Roman" w:cs="Times New Roman" w:eastAsia="Times New Roman" w:hAnsi="Times New Roman"/>
          <w:sz w:val="18"/>
          <w:szCs w:val="18"/>
          <w:color w:val="auto"/>
        </w:rPr>
        <w:t>. The Commitment shall terminate in its entirety and be automatically reduced to $0 at 12:00 p.m., New York City time on the last day of the Commitment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ind w:left="1520" w:hanging="216"/>
        <w:spacing w:after="0"/>
        <w:tabs>
          <w:tab w:leader="none" w:pos="1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In each case, subject to the terms and conditions of the DIP Order and the Approved Budget: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18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three (3) Business Days following receipt by any Loan Party of cash proceeds of (x) any asset Disposition (other than a Permitted Disposition) or (y) a Permitted Disposition that is not in the ordinary course of business, in each case, where the cash proceeds of such Disposition exceed $100,000 (individually) or, when aggregated with all other Dispositions since the Closing Date, exceed $300,000 in the aggregate, unless the Required Lenders agree otherwise, the Borrowers shall prepay the DIP Loans in an amount equal to all such proceeds, net of (x) commissions and other reasonable and customary transaction costs, fees and expenses properly attributable to such transaction and payable by the Borrowers or any Loan Party in connection therewith (in each case, paid to Persons that are not Affiliates of the Loan Parties), and (y) with respect to proceeds from the Disposition of assets securing obligations owed to a third party, which Lien is senior to the Liens securing the Obligations, the amount of such proceeds required by an order of the Bankruptcy Court to repay such third party obligations.</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3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one (1) Business Day following receipt by any Loan Party of cash proceeds of any debt securities or other Indebtedness other than Permitted Indebtedness, the Borrowers shall prepay the DIP Loans in an amount equal to all such proceeds, net of underwriting discounts and commissions and other reasonable costs or fees paid to non-affiliates in connection therewith.</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6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amount of DIP Loans outstanding exceeds the amount permitted to be outstanding pursuant to the DIP Order, the Borrowers agree to promptly (and in any event within three (3) Business Days) prepay the DIP Loans in the amounts and at the times as may be necessary to comply with the DIP Order.</w:t>
      </w:r>
    </w:p>
    <w:p>
      <w:pPr>
        <w:spacing w:after="0" w:line="17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25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2(l) shall be construed to constitute the DIP Lender’s consent to any transaction that is not permitted by other provisions of the DIP Order or the other DIP Loan Documents.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0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Discharge; Survival of Claims</w:t>
      </w:r>
      <w:r>
        <w:rPr>
          <w:rFonts w:ascii="Times New Roman" w:cs="Times New Roman" w:eastAsia="Times New Roman" w:hAnsi="Times New Roman"/>
          <w:sz w:val="18"/>
          <w:szCs w:val="18"/>
          <w:color w:val="auto"/>
        </w:rPr>
        <w:t>. Until the Obligations are paid in full in cash (or otherwise satisfied pursuant to an Acceptable Sale Transaction) and the Commitments have been terminated, the Borrowers agree that the Obligations hereunder shall not be discharged by the entry of an order confirming a plan of reorganization (and Borrowers, pursuant to section 1141(d)(4) of the Bankruptcy Code, hereby waive any such discharge) and any DIP Lien shall not be affected in any manner by the entry of an order confirming any plan of reorganization that does not provide for the Obligations to be paid in full in cash or by the DIP Lenders’ election to Credit Bid.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jc w:val="both"/>
        <w:ind w:firstLine="1304"/>
        <w:spacing w:after="0" w:line="266" w:lineRule="auto"/>
        <w:tabs>
          <w:tab w:leader="none" w:pos="155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 and Priority</w:t>
      </w:r>
      <w:r>
        <w:rPr>
          <w:rFonts w:ascii="Times New Roman" w:cs="Times New Roman" w:eastAsia="Times New Roman" w:hAnsi="Times New Roman"/>
          <w:sz w:val="18"/>
          <w:szCs w:val="18"/>
          <w:color w:val="auto"/>
        </w:rPr>
        <w:t>. From and after the Petition Date, without limitation of Section 10 and subject in all respects to the entry and the terms of (including any adequate protection liens granted under) the Interim DIP Order (and the Final DIP Order, when applicable), all of the Obligations of each Loan Party are authorized by each DIP Order and shall, subject only to the Carve-Out in full in cash, at all times:</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19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364(c)(1) of the Bankruptcy Code, constitute joint and several allowed super-priority administrative expense claims against the Loan Parties (without the need to file any proof of claim) with priority, subject and subordinate to the Carve-Out and Intercompany Claims (as defined in the DIP Order), as set forth on Annex 1 to the Interim DIP Order, over any and all other administrative expenses, adequate protection claims, diminution in value claims, and all other claims asserted against the Loan Parties, now existing or hereafter arising, of any kind whatsoever, including, without limitation, all administrative expenses of the kind specified in sections 503(b) and 507(b) of the Bankruptcy Code and any and all administrative expenses or other claims arising under sections 105, 326, 328, 330, 331, 361, 362, 363, 364, 365, 503, 506(c), 507(a), 507(b), 546, 726, 1113 or 1114 of the Bankruptcy Code, whether or not such expenses or claims may become secured by a judgment lien or other non-consensual lien, levy or attachment, which allowed claims (the “</w:t>
      </w:r>
      <w:r>
        <w:rPr>
          <w:rFonts w:ascii="Times New Roman" w:cs="Times New Roman" w:eastAsia="Times New Roman" w:hAnsi="Times New Roman"/>
          <w:sz w:val="18"/>
          <w:szCs w:val="18"/>
          <w:u w:val="single" w:color="auto"/>
          <w:color w:val="auto"/>
        </w:rPr>
        <w:t>DIP Super-Priority Claims</w:t>
      </w:r>
      <w:r>
        <w:rPr>
          <w:rFonts w:ascii="Times New Roman" w:cs="Times New Roman" w:eastAsia="Times New Roman" w:hAnsi="Times New Roman"/>
          <w:sz w:val="18"/>
          <w:szCs w:val="18"/>
          <w:color w:val="auto"/>
        </w:rPr>
        <w:t>”) shall for purposes of section 1129(a)(9)(A) of the Bankruptcy Code be considered administrative expenses allowed under section 503(b) of the Bankruptcy Code, and which DIP Super-Priority Claims shall be payable from and have recourse to all DIP Collateral, whether existing on the Petition Date or thereafter acquired, of the Loan Parties and all proceeds thereof, including any cash constituting DIP Collateral of such Loan Parties (including without limitation, Cash Collateral) and, subject to entry of the Final DIP Order, the proceeds of any Avoidance Actions;</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2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364(c)(2) of the Bankruptcy Code, be secured by legal, binding, continuing, allowed, enforceable, non-avoidable, properly authorized, and automatically valid, fully and properly perfected and effective, first-priority security interests in and Liens on all DIP Collateral of the applicable Loan Parties (but not, for the avoidance of doubt, any Excluded Asset) that, as of the Petition Date, was not subject to the Liens or security interests securing the Prepetition Notes (collectively, “</w:t>
      </w:r>
      <w:r>
        <w:rPr>
          <w:rFonts w:ascii="Times New Roman" w:cs="Times New Roman" w:eastAsia="Times New Roman" w:hAnsi="Times New Roman"/>
          <w:sz w:val="18"/>
          <w:szCs w:val="18"/>
          <w:u w:val="single" w:color="auto"/>
          <w:color w:val="auto"/>
        </w:rPr>
        <w:t>Unencumbered Property</w:t>
      </w:r>
      <w:r>
        <w:rPr>
          <w:rFonts w:ascii="Times New Roman" w:cs="Times New Roman" w:eastAsia="Times New Roman" w:hAnsi="Times New Roman"/>
          <w:sz w:val="18"/>
          <w:szCs w:val="18"/>
          <w:color w:val="auto"/>
        </w:rPr>
        <w:t xml:space="preserve">”), which shall be subject and subordinate only to (1) the Carve Out, (2) Permitted Prior Liens and (3) Intercompany Liens (as defined in the Interim DIP Order);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DIP Liens shall have first priority with respect to the proceeds or recovery on account of any Manager Advances; and</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28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sections 364(c)(3) and 364(d)(1) of the Bankruptcy Code, be secured by legal, binding, continuing, allowed, enforceable, non-avoidable, properly authorized, and automatically valid, fully and properly perfected and effective, first priority priming security interests in and liens on all DIP Collateral (other than Unencumbered Property) which (A) shall be subject and subordinate only to (1) the Carve-Out, (2) the Permitted Prior Liens, and (3) Intercompany Liens, and (B) shall be senior and priming to the Prepetition Liens, any liens junior to the Prepetition Liens, the Adequate Protection Liens, and any other prepetition or postpetition liens or other interests of any kind of any other person or entity with respect to the DIP Collateral, whether created voluntarily or involuntarily including by court of a court), in each case other than the Carve-Out and Permitted Prior Liens;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DIP Liens shall have first priority with respect to the proceeds or recovery on account of any Manager Advances.</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For the avoidance of doubt and as specified in the DIP Order, the DIP Super-Priority Claims, DIP Liens, and DIP Collateral shall apply separately with respect to the FBG DIP Loan Parties, on the one hand, and the Twin DIP Loan Parties, on the other hand. No DIP Super-Priority Claims or DIP Liens shall be granted against the FBG DIP Loan Parties and their assets to secure or support the Twin DIP Obligations and no DIP Super-Priority Claims or DIP Liens shall be granted against the Twin DIP Loan Parties and their assets to secure or support the FBG DIP Obligations.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8" w:name="page49"/>
    <w:bookmarkEnd w:id="48"/>
    <w:p>
      <w:pPr>
        <w:jc w:val="both"/>
        <w:ind w:firstLine="1304"/>
        <w:spacing w:after="0" w:line="254" w:lineRule="auto"/>
        <w:tabs>
          <w:tab w:leader="none" w:pos="155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Generally</w:t>
      </w:r>
      <w:r>
        <w:rPr>
          <w:rFonts w:ascii="Times New Roman" w:cs="Times New Roman" w:eastAsia="Times New Roman" w:hAnsi="Times New Roman"/>
          <w:sz w:val="18"/>
          <w:szCs w:val="18"/>
          <w:color w:val="auto"/>
        </w:rPr>
        <w:t>. Any and all payments or prepayments by or on account of any obligation of the Loan Parties under the DIP Loan Documents (whether of principal, interest, fees, or other amounts payable under this Agreement, or otherwise) shall be made prior to 12:00 p.m., New York City time, on the date when due, in immediately available funds, without setoff or counterclaim. Any amounts received after such time on any date shall be deemed to have been received on the next succeeding Business Day for purposes of calculating interest thereon. All such payments shall be made to the DIP Agent pursuant to wire instructions to be provided by the DIP Agent. The DIP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 If at any time insufficient funds are received by and available to the DIP Agent to pay fully all Obligations then due hereunder, such funds shall be applied in the priority set forth in Section 6.</w:t>
      </w:r>
    </w:p>
    <w:p>
      <w:pPr>
        <w:spacing w:after="0" w:line="184"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color w:val="auto"/>
        </w:rPr>
        <w:t>. In order to induce the DIP Agent and each DIP Lender to enter into this Agreement and to induce each DIP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Lender to make DIP Loans, each Borrower represents and warrants, on behalf of itself and the other Loan Parties, that:</w:t>
      </w:r>
    </w:p>
    <w:p>
      <w:pPr>
        <w:spacing w:after="0" w:line="159" w:lineRule="exact"/>
        <w:rPr>
          <w:sz w:val="20"/>
          <w:szCs w:val="20"/>
          <w:color w:val="auto"/>
        </w:rPr>
      </w:pPr>
    </w:p>
    <w:p>
      <w:pPr>
        <w:ind w:firstLine="1304"/>
        <w:spacing w:after="0" w:line="282" w:lineRule="auto"/>
        <w:tabs>
          <w:tab w:leader="none" w:pos="15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and each of its Subsidiaries is duly organized and validly existing and, subject to </w:t>
      </w:r>
      <w:r>
        <w:rPr>
          <w:rFonts w:ascii="Times New Roman" w:cs="Times New Roman" w:eastAsia="Times New Roman" w:hAnsi="Times New Roman"/>
          <w:sz w:val="18"/>
          <w:szCs w:val="18"/>
          <w:u w:val="single" w:color="auto"/>
          <w:color w:val="auto"/>
        </w:rPr>
        <w:t>Schedule 5(c)</w:t>
      </w:r>
      <w:r>
        <w:rPr>
          <w:rFonts w:ascii="Times New Roman" w:cs="Times New Roman" w:eastAsia="Times New Roman" w:hAnsi="Times New Roman"/>
          <w:sz w:val="18"/>
          <w:szCs w:val="18"/>
          <w:color w:val="auto"/>
        </w:rPr>
        <w:t>, in good standing (to the extent such concept is applicable in the relevant jurisdiction) under the laws of the jurisdiction of its organization.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granting of the Interim DIP Order or Final DIP Order, as applicable, the transactions contemplated by this Agreement and the other DIP Loan Documents (i) are within the power of the Borrowers and the other Loan Parties, (ii) have been duly authorized by all necessary corporate and, if required, other organizational approval by each Borrower and each Loan Party, (iii) constitute legal, valid and binding obligations of each Borrower and each other Loan Party, and (iv) do not require the consent or approval of, or any other action by, any Governmental Authority, except for (a) those filings as may be required, in connection with the disposition of any pledged DIP Collateral, by laws generally affecting the offering and sale of securities, or (b) approvals, consents, or other actions which have been duly obtained, taken, given or made and are in full force and effect.</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DIP Loan Documents have been duly executed and delivered by or on behalf of the Borrowers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Loan Parties.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operations of the Borrowers and the other Loan Parties have been and will continue to be conducted in material compliance with all laws of each jurisdiction in which business has been or is being carried 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jc w:val="both"/>
        <w:ind w:firstLine="1304"/>
        <w:spacing w:after="0" w:line="266" w:lineRule="auto"/>
        <w:tabs>
          <w:tab w:leader="none" w:pos="15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and the other Loan Parties have obtained or are obtaining all material licenses and permits required for the operation of their businesses, which licenses and permits remain in full force and effect. No proceedings have been commenced or threatened to revoke or amend any of such licenses or permits.</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Petition Date, no event or change has occurred that has caused or evidences, either in any case or in the aggregate, a Material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w:t>
      </w:r>
    </w:p>
    <w:p>
      <w:pPr>
        <w:spacing w:after="0" w:line="20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8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Borrower’s knowledge, all written factual information (taken as a whole) (other than forward-looking information and projections and information of a general economic nature and general information about each Loan Party’s industry) provided by or on behalf of the Borrowers and the other Loan Parties to the DIP Agent or any DIP Lender for the purposes of or in connection with this Agreement or any other DIP Loan Document is true and accurate in all material respects on the date as of which such information is dated or certified and not incomplete by omitting to state any fact necessary to make such information taken as a whole not misleading in any material respect at such time in light of the circumstances under which such information was provided.</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have disclosed all material assumptions with respect to the Budget.</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1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 of any DIP Loan or the proceeds thereof will be used to purchase or carry any Margin Stock or to extend credit for the purpose of purchasing or carrying any Margin Stock. Neither the making of any DIP Loan nor the use of the proceeds thereof will violate or be inconsistent with the provisions of Regulation T, U or X of the FRB.</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or performance by any Loan Party of this Agreement or any other DIP Loan Document, nor compliance by it with the terms and provisions thereof, (i) will contravene any provision of any Requirements of Law or any order, writ, injunction or decree of any court or Governmental Authority, subject to the DIP Order, (ii) will conflict with or result in any breach of any of the terms, covenants, conditions or provisions of, or constitute a default under, or result in the creation or imposition of (or the obligation to create or impose) any Lien (except pursuant to the DIP Order) upon any of the property or assets of any Loan Party or any of its Subsidiaries pursuant to the terms of any indenture, mortgage, deed of trust, credit agreement or loan agreement, or any other agreement, contract or instrument, in each case to which any Loan Party or any of its Subsidiaries is a party or by which it or any its property or assets is bound or to which it may be subject (other than as permitted by the DIP Order), except in the case of this clause (ii), as could not, either individually or in the aggregate, reasonably be expected to have a Material Adverse Effect, or (iii) will violate any provision of the certificate or articles of incorporation, certificate of formation, limited liability company agreement or by-laws (or equivalent organizational documents), as applicable, of any Loan Party or any of its Subsidiaries.</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entry of each of the Interim DIP Order or the Final DIP Order and the entry into of this Agreement, the Interim DIP Order, the Final DIP Order and this Agreement, as applicable, create in favor of the DIP Agent, for the benefit of the Secured Parties, the DIP Super-Priority Claims and a legal, valid, enforceable and fully perfected security interest in and Lien on all right, title and interest of the Loan Parties in the DIP Collateral with the priority described in the DIP Order. No filings or recordings are required in order to perfect the security interests created under the DIP Order.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ind w:left="1520" w:hanging="216"/>
        <w:spacing w:after="0"/>
        <w:tabs>
          <w:tab w:leader="none" w:pos="1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Loan Party is, or is required to be registered as, an “investment company” within the meaning of the Investment Company Act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1940, as amended.</w:t>
      </w:r>
    </w:p>
    <w:p>
      <w:pPr>
        <w:spacing w:after="0" w:line="206"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are not an Affiliated Person of Axonic Alternative Income Fund or Axonic Strategic Income Fund, a series of Axonic</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Conditions Precedent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4"/>
        <w:spacing w:after="0" w:line="282" w:lineRule="auto"/>
        <w:tabs>
          <w:tab w:leader="none" w:pos="1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Closing Date</w:t>
      </w:r>
      <w:r>
        <w:rPr>
          <w:rFonts w:ascii="Times New Roman" w:cs="Times New Roman" w:eastAsia="Times New Roman" w:hAnsi="Times New Roman"/>
          <w:sz w:val="18"/>
          <w:szCs w:val="18"/>
          <w:color w:val="auto"/>
        </w:rPr>
        <w:t>. The obligation of each DIP Lender to make the initial New Money DIP Loans on the Closing Date shall be subject to the satisfaction or written waiver by the Required Lenders of the following conditions precedent (“</w:t>
      </w:r>
      <w:r>
        <w:rPr>
          <w:rFonts w:ascii="Times New Roman" w:cs="Times New Roman" w:eastAsia="Times New Roman" w:hAnsi="Times New Roman"/>
          <w:sz w:val="18"/>
          <w:szCs w:val="18"/>
          <w:u w:val="single" w:color="auto"/>
          <w:color w:val="auto"/>
        </w:rPr>
        <w:t>Initial Draw Conditions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17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delivered to the DIP Lenders and the DIP Agent an executed counterpart of this Agreement and all schedules and exhibits hereto and any other DIP Loan Documents dated the date hereof.</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2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the Interim DIP Order authorizing and approving, among other things, the DIP Facility, the granting of the DIP Liens with the priority contemplated herein and the Stipulated Allocation set out in Schedule 4(a).</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7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DIP Order shall be in full force and effect, shall not have been reversed, vacated or stayed and shall not have been amended, supplemented or otherwise modified without the prior written reasonable consent of the Required Lenders.</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5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Lenders shall have received a copy of the initial Approved Budget which is attached to the Interim Order and the Loan Parties shall be in compliance with such Approved Budget.</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2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at the time of, or after giving effect to, the making of the DIP Loans on the Closing Date.</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5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circumstance shall have occurred or be continuing since the Petition Date that has had, or would be reasonably expected to cause, either individually or in the aggregate, a Material Adverse Effect.</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32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Borrower and each Loan Party set forth herein and in each other DIP Loan Document shall be true and correct in all material respects (or, to the extent qualified by materiality, in all respects) immediately prior to, and after giving effect to, the makings of the DIP Loans on the Closing Date, except to the extent that such representation or warranty expressly relates to an earlier date (in which event such representations and warranties were true and correct in all material respects (or, to the extent qualified by materiality, in all respects) as of such earlier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ind w:left="180" w:firstLine="652"/>
        <w:spacing w:after="0" w:line="258" w:lineRule="auto"/>
        <w:tabs>
          <w:tab w:leader="none" w:pos="123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Lenders and the DIP Agent shall have received all such agreements, instruments, approvals, and other documents, each reasonably satisfactory to the Required Lenders in form and substance, as the Required Lenders may reasonably request, including any closing officer certificates, incumbency and secretary certificate matters (certifying to among other things customary organizational document matters) in each case in form and substance satisfactory to the Required Lenders, and, subject to Schedule 5(c), evidence of good standing.</w:t>
      </w:r>
    </w:p>
    <w:p>
      <w:pPr>
        <w:spacing w:after="0" w:line="183" w:lineRule="exact"/>
        <w:rPr>
          <w:rFonts w:ascii="Times New Roman" w:cs="Times New Roman" w:eastAsia="Times New Roman" w:hAnsi="Times New Roman"/>
          <w:sz w:val="18"/>
          <w:szCs w:val="18"/>
          <w:color w:val="auto"/>
        </w:rPr>
      </w:pPr>
    </w:p>
    <w:p>
      <w:pPr>
        <w:ind w:left="180" w:firstLine="652"/>
        <w:spacing w:after="0" w:line="282" w:lineRule="auto"/>
        <w:tabs>
          <w:tab w:leader="none" w:pos="11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the DIP Loans on the Closing Date shall not violate any Requirements of Law and shall not be enjoined, temporarily, preliminarily or permanently.</w:t>
      </w:r>
    </w:p>
    <w:p>
      <w:pPr>
        <w:spacing w:after="0" w:line="161" w:lineRule="exact"/>
        <w:rPr>
          <w:rFonts w:ascii="Times New Roman" w:cs="Times New Roman" w:eastAsia="Times New Roman" w:hAnsi="Times New Roman"/>
          <w:sz w:val="18"/>
          <w:szCs w:val="18"/>
          <w:color w:val="auto"/>
        </w:rPr>
      </w:pPr>
    </w:p>
    <w:p>
      <w:pPr>
        <w:ind w:left="180" w:right="20" w:firstLine="65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be in compliance with the terms of the Interim DIP Order, the First Day Orders and any other material orders entered by the Bankruptcy Court in the Chapter 11 Cases.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1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procedures specified in the DIP Order, (A) the DIP Agent shall have received (or each shall have agreed to arrangements for the) payment of all fees (including the fees payable under the Agent Fee Letter), costs and expenses (including legal fees and expenses) then due and owing to the DIP Agent, and (B) each other Secured Party shall have received (or each shall have agreed to arrangements for the) payment of all fees (including the Upfront Fee), costs and expense owing to it, in each case to the extent invoiced at least two (2) Business Days prior to the Closing Date.</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19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Interim DIP Order, upon entry thereof, shall be effective to create in favor of the DIP Agent, for the benefit of the Secured Parties, the DIP Super-Priority Claims and legal, valid, enforceable and perfected security interest in and Lien on the DIP Collateral of the Loan Parties and the proceeds thereof, in the priority described in the DIP Order. All filings, recordings, deliveries of instruments and other actions necessary or desirable in the reasonable opinion of Required Lenders to protect and preserve such security interests shall have been duly effected. The DIP Lender shall have received evidence thereof in form and substance satisfactory to the Required Lenders.</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23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Agent shall have received at least three (3) Business Days prior to the Closing Date all documentation and other information (including, but not limited to, each Borrower’s IRS Form W-9 (or successor form)) required by regulatory authorities under applicable “know your customer” and anti-money laundering rules and regulations, including without limitation, the PATRIOT ACT that has been requested by the DIP Agent not less than five (5) Business Days prior to the Closing Date. The DIP Agent shall have also received, not less than five (5) Business Days (or such shorter time as may be reasonably acceptable to the DIP Agent) prior to the Closing Date, each DIP Lender’s tax documentation as required pursuant to Section 8(c)(ii) and administrative and other information reasonably requested by the DIP Agent.</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52" w:name="page53"/>
    <w:bookmarkEnd w:id="52"/>
    <w:p>
      <w:pPr>
        <w:ind w:left="2340" w:hanging="388"/>
        <w:spacing w:after="0"/>
        <w:tabs>
          <w:tab w:leader="none" w:pos="2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customary Notice of Borrowing pursuant to Section 2(d).</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9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set forth in the Governance Agreement and the Interim DIP Order, the board of directors of the Loan Parties shall be reduced and comprised only of the members of the Special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departing board members shall receive all unpaid compensation and fees to the extent and at the time(s) set forth in the Governance Agreement.</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36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the Governance Agreement, there has been no change, without the Ad Hoc Group’s prior written consent, to the governance matters set forth in the January 26, 2026 and February 8, 2026 corporate resolutions for each of the Debtors filed at Docket No. 190 (as supplemented by the record of the hearing on February 10, 2026) (the “</w:t>
      </w:r>
      <w:r>
        <w:rPr>
          <w:rFonts w:ascii="Times New Roman" w:cs="Times New Roman" w:eastAsia="Times New Roman" w:hAnsi="Times New Roman"/>
          <w:sz w:val="18"/>
          <w:szCs w:val="18"/>
          <w:u w:val="single" w:color="auto"/>
          <w:color w:val="auto"/>
        </w:rPr>
        <w:t>Governance Protocol</w:t>
      </w:r>
      <w:r>
        <w:rPr>
          <w:rFonts w:ascii="Times New Roman" w:cs="Times New Roman" w:eastAsia="Times New Roman" w:hAnsi="Times New Roman"/>
          <w:sz w:val="18"/>
          <w:szCs w:val="18"/>
          <w:color w:val="auto"/>
        </w:rPr>
        <w:t>”), which provide, among other things, that (i) the Special Committee was delegated complete and exclusive decision-making authority with respect to the Loan Parties’ restructuring, the implementation of any restructuring transactions, and the conduct of the Chapter 11 Cases, and (ii) the CRO was authorized to report directly to the Special Committee and granted exclusive control over the Debtors’ cash and disbursements.</w:t>
      </w:r>
    </w:p>
    <w:p>
      <w:pPr>
        <w:spacing w:after="0" w:line="188" w:lineRule="exact"/>
        <w:rPr>
          <w:rFonts w:ascii="Times New Roman" w:cs="Times New Roman" w:eastAsia="Times New Roman" w:hAnsi="Times New Roman"/>
          <w:sz w:val="18"/>
          <w:szCs w:val="18"/>
          <w:color w:val="auto"/>
        </w:rPr>
      </w:pPr>
    </w:p>
    <w:p>
      <w:pPr>
        <w:ind w:left="2400" w:hanging="448"/>
        <w:spacing w:after="0"/>
        <w:tabs>
          <w:tab w:leader="none" w:pos="24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have agreed to the Stipulated Allocation set out in Schedule 4(a).</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45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an order in form and substance acceptable to the Required Lenders approving the Governance Agreement and the Governance Agreement shall be in full force and effect and all parties thereto shall be in full compliance of the Governance Agreement.</w:t>
      </w:r>
    </w:p>
    <w:p>
      <w:pPr>
        <w:spacing w:after="0" w:line="17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Houlihan Engagement Letter shall have been executed and delivered to the Specified Financial Advisor.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Second Borrowing Date</w:t>
      </w:r>
      <w:r>
        <w:rPr>
          <w:rFonts w:ascii="Times New Roman" w:cs="Times New Roman" w:eastAsia="Times New Roman" w:hAnsi="Times New Roman"/>
          <w:sz w:val="18"/>
          <w:szCs w:val="18"/>
          <w:color w:val="auto"/>
        </w:rPr>
        <w:t>. The obligation of each DIP Lender to make a second New Money DIP Loan after the Closing Date shall be subject to the satisfaction or written waiver by the DIP Agent (at the written direction of the Required Lenders) of the following conditions precedent (“</w:t>
      </w:r>
      <w:r>
        <w:rPr>
          <w:rFonts w:ascii="Times New Roman" w:cs="Times New Roman" w:eastAsia="Times New Roman" w:hAnsi="Times New Roman"/>
          <w:sz w:val="18"/>
          <w:szCs w:val="18"/>
          <w:u w:val="single" w:color="auto"/>
          <w:color w:val="auto"/>
        </w:rPr>
        <w:t>Second Draw Conditions</w:t>
      </w:r>
      <w:r>
        <w:rPr>
          <w:rFonts w:ascii="Times New Roman" w:cs="Times New Roman" w:eastAsia="Times New Roman" w:hAnsi="Times New Roman"/>
          <w:sz w:val="18"/>
          <w:szCs w:val="18"/>
          <w:color w:val="auto"/>
        </w:rPr>
        <w:t>”) on or prior to such date (the “</w:t>
      </w:r>
      <w:r>
        <w:rPr>
          <w:rFonts w:ascii="Times New Roman" w:cs="Times New Roman" w:eastAsia="Times New Roman" w:hAnsi="Times New Roman"/>
          <w:sz w:val="18"/>
          <w:szCs w:val="18"/>
          <w:u w:val="single" w:color="auto"/>
          <w:color w:val="auto"/>
        </w:rPr>
        <w:t>Second Borrowing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7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DIP Order and the Bidding Procedures Order, in each case, shall be in full force and effect, shall not have been reversed, vacated or stayed and shall not have been amended, supplemented or otherwise modified without the prior written reasonable consent of the Required Lenders.</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27"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Borrower and each Loan Party set forth herein shall be true and correct in all material respects (or, to the extent qualified by materiality, in all respects) immediately prior to, and after giving effect to, the making of such DIP Loans, except to the extent that such representation or warranty expressly relates to an earlier date (in which event such representations and warranties were true and correct in all material respects (or, to the extent qualified by materiality, in all respects) as of such earlier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ind w:left="180" w:firstLine="652"/>
        <w:spacing w:after="0" w:line="282" w:lineRule="auto"/>
        <w:tabs>
          <w:tab w:leader="none" w:pos="114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Lenders shall have received the most recently required revised Approved Budget, which has been consented to by the Required Lenders to the extent required in Section 5(a).</w:t>
      </w:r>
    </w:p>
    <w:p>
      <w:pPr>
        <w:spacing w:after="0" w:line="161"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at the time of, or after giving effect to, the making of such DIP Loans.</w:t>
      </w:r>
    </w:p>
    <w:p>
      <w:pPr>
        <w:spacing w:after="0" w:line="225" w:lineRule="exact"/>
        <w:rPr>
          <w:rFonts w:ascii="Times New Roman" w:cs="Times New Roman" w:eastAsia="Times New Roman" w:hAnsi="Times New Roman"/>
          <w:sz w:val="18"/>
          <w:szCs w:val="18"/>
          <w:color w:val="auto"/>
        </w:rPr>
      </w:pPr>
    </w:p>
    <w:p>
      <w:pPr>
        <w:ind w:left="1080" w:hanging="248"/>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customary Notice of Borrowing pursuant to Section 2(d).</w:t>
      </w:r>
    </w:p>
    <w:p>
      <w:pPr>
        <w:spacing w:after="0" w:line="225" w:lineRule="exact"/>
        <w:rPr>
          <w:rFonts w:ascii="Times New Roman" w:cs="Times New Roman" w:eastAsia="Times New Roman" w:hAnsi="Times New Roman"/>
          <w:sz w:val="18"/>
          <w:szCs w:val="18"/>
          <w:color w:val="auto"/>
        </w:rPr>
      </w:pPr>
    </w:p>
    <w:p>
      <w:pPr>
        <w:ind w:left="180" w:firstLine="652"/>
        <w:spacing w:after="0" w:line="282"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be in compliance with the terms of the DIP Order, any entered order related to the Acceptable Sale Process, and any other material orders entered by the Bankruptcy Court in the Chapter 11 Cases.</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2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such DIP Loans shall not violate any Requirements of Law and shall not be enjoined, temporarily, preliminarily or permanently.</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25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has been taken by any Loan Party or any of its Affiliates in the Chapter 11 Cases that would reasonably be expected to materially delay the consummation of an Acceptable Sale Transaction in accordance with the Milestones.</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1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shall have obtained all governmental authorizations from any Governmental Authority that are necessary in connection with the transactions contemplated by the DIP Loan Documents and each of the foregoing shall be in full force and effect.</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09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procedures specified in the DIP Order, the DIP Agent and each other Secured Party shall have received (or each shall have agreed to arrangements for the) payment of all fees, costs and expenses (including legal fees and expenses) then due and owing to it to the extent invoiced at least two (2) Business Days prior to the proposed date of borrowing.</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14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Initial Draw Conditions shall remain satisfied or have been waived in writing by the DIP Agent (at the written direction of the Required Lenders).</w:t>
      </w:r>
    </w:p>
    <w:p>
      <w:pPr>
        <w:spacing w:after="0" w:line="161" w:lineRule="exact"/>
        <w:rPr>
          <w:rFonts w:ascii="Times New Roman" w:cs="Times New Roman" w:eastAsia="Times New Roman" w:hAnsi="Times New Roman"/>
          <w:sz w:val="18"/>
          <w:szCs w:val="18"/>
          <w:color w:val="auto"/>
        </w:rPr>
      </w:pPr>
    </w:p>
    <w:p>
      <w:pPr>
        <w:ind w:left="180" w:firstLine="652"/>
        <w:spacing w:after="0" w:line="282" w:lineRule="auto"/>
        <w:tabs>
          <w:tab w:leader="none" w:pos="120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is in compliance with the Milestones (as may be waived or amended from time to time with the prior written consent of the Required Lenders).</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54" w:name="page55"/>
    <w:bookmarkEnd w:id="54"/>
    <w:p>
      <w:pPr>
        <w:jc w:val="both"/>
        <w:ind w:firstLine="1304"/>
        <w:spacing w:after="0" w:line="266" w:lineRule="auto"/>
        <w:tabs>
          <w:tab w:leader="none" w:pos="1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to Third Borrowing Date</w:t>
      </w:r>
      <w:r>
        <w:rPr>
          <w:rFonts w:ascii="Times New Roman" w:cs="Times New Roman" w:eastAsia="Times New Roman" w:hAnsi="Times New Roman"/>
          <w:sz w:val="18"/>
          <w:szCs w:val="18"/>
          <w:color w:val="auto"/>
        </w:rPr>
        <w:t>. The obligation of each DIP Lender to make a third New Money DIP Loan after the Closing Date shall be subject to the satisfaction or written waiver by the DIP Agent (at the written direction of the Required Lenders) of the following conditions precedent (“</w:t>
      </w:r>
      <w:r>
        <w:rPr>
          <w:rFonts w:ascii="Times New Roman" w:cs="Times New Roman" w:eastAsia="Times New Roman" w:hAnsi="Times New Roman"/>
          <w:sz w:val="18"/>
          <w:szCs w:val="18"/>
          <w:u w:val="single" w:color="auto"/>
          <w:color w:val="auto"/>
        </w:rPr>
        <w:t>Third Draw Conditions</w:t>
      </w:r>
      <w:r>
        <w:rPr>
          <w:rFonts w:ascii="Times New Roman" w:cs="Times New Roman" w:eastAsia="Times New Roman" w:hAnsi="Times New Roman"/>
          <w:sz w:val="18"/>
          <w:szCs w:val="18"/>
          <w:color w:val="auto"/>
        </w:rPr>
        <w:t>”) on or prior to such date (the “</w:t>
      </w:r>
      <w:r>
        <w:rPr>
          <w:rFonts w:ascii="Times New Roman" w:cs="Times New Roman" w:eastAsia="Times New Roman" w:hAnsi="Times New Roman"/>
          <w:sz w:val="18"/>
          <w:szCs w:val="18"/>
          <w:u w:val="single" w:color="auto"/>
          <w:color w:val="auto"/>
        </w:rPr>
        <w:t>Third Borrowing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7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DIP Order and the Bidding Procedures Order, in each case, shall be in full force and effect, shall not have been reversed, vacated or stayed and shall not have been amended, supplemented or otherwise modified without the prior written reasonable consent of the Required Lenders.</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2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Borrower and each Loan Party set forth herein shall be true and correct in all material respects (or, to the extent qualified by materiality, in all respects) immediately prior to, and after giving effect to, the making of such DIP Loans, except to the extent that such representation or warranty expressly relates to an earlier date (in which event such representations and warranties were true and correct in all material respects (or, to the extent qualified by materiality, in all respects) as of such earlier date).</w:t>
      </w:r>
    </w:p>
    <w:p>
      <w:pPr>
        <w:spacing w:after="0" w:line="183" w:lineRule="exact"/>
        <w:rPr>
          <w:rFonts w:ascii="Times New Roman" w:cs="Times New Roman" w:eastAsia="Times New Roman" w:hAnsi="Times New Roman"/>
          <w:sz w:val="18"/>
          <w:szCs w:val="18"/>
          <w:color w:val="auto"/>
        </w:rPr>
      </w:pPr>
    </w:p>
    <w:p>
      <w:pPr>
        <w:ind w:left="1300" w:firstLine="652"/>
        <w:spacing w:after="0" w:line="282" w:lineRule="auto"/>
        <w:tabs>
          <w:tab w:leader="none" w:pos="226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Lenders shall have received the most recently required revised Approved Budget, which has been consented to by the Required Lenders to the extent required in Section 5(a).</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at the time of, or after giving effect to, the making of such DIP Loans.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customary Notice of Borrowing pursuant to Section 2(d).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shall be in compliance with the terms of the DIP Order, any entered order related to the Acceptable Sale Process, and any other material orders entered by the Bankruptcy Court in the Chapter 11 Cases.</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3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such DIP Loans shall not violate any Requirements of Law and shall not be enjoined, temporarily, preliminarily or permanently.</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37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action has been taken by any Loan Party or any of its Affiliates in the Chapter 11 Cases that would reasonably be expected to materially delay the consummation of an Acceptable Sale Transaction in accordance with the Milestones.</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25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shall have obtained all governmental authorizations from any Governmental Authority that are necessary in connection with the transactions contemplated by the DIP Loan Documents and each of the foregoing shall be in full force and effect.</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1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procedures specified in the DIP Order, the DIP Agent and each other Secured Party shall have received (or each shall have agreed to arrangements for the) payment of all fees, costs and expenses (including legal fees and expenses) then due and owing to it to the extent invoiced at least two (2) Business Days prior to the proposed date of borrowing.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ind w:left="1300" w:right="20" w:firstLine="652"/>
        <w:spacing w:after="0" w:line="282" w:lineRule="auto"/>
        <w:tabs>
          <w:tab w:leader="none" w:pos="226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Initial Draw Conditions and Second Draw Conditions shall remain satisfied or have been waived in writing by the DIP Agent (at the written direction of the Required Lenders).</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32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is in compliance with the Milestones (as may be waived or amended from time to time with the prior written consent of the Required Lenders).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35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Need shall exist on the Third Borrowing Date and prior to the making of such DIP Loans (which Liquidity Need shall be demonstrated and calculated in reasonable detail and certified in the Notice of Borrowing delivered in accordance with Section 4(c)(v) above).</w:t>
      </w:r>
    </w:p>
    <w:p>
      <w:pPr>
        <w:spacing w:after="0" w:line="175" w:lineRule="exact"/>
        <w:rPr>
          <w:rFonts w:ascii="Times New Roman" w:cs="Times New Roman" w:eastAsia="Times New Roman" w:hAnsi="Times New Roman"/>
          <w:sz w:val="18"/>
          <w:szCs w:val="18"/>
          <w:color w:val="auto"/>
        </w:rPr>
      </w:pPr>
    </w:p>
    <w:p>
      <w:pPr>
        <w:ind w:left="2340" w:hanging="388"/>
        <w:spacing w:after="0"/>
        <w:tabs>
          <w:tab w:leader="none" w:pos="2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Bid Deadline under the Bidding Procedures Order shall have occurred.</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Covenants</w:t>
      </w:r>
      <w:r>
        <w:rPr>
          <w:rFonts w:ascii="Times New Roman" w:cs="Times New Roman" w:eastAsia="Times New Roman" w:hAnsi="Times New Roman"/>
          <w:sz w:val="18"/>
          <w:szCs w:val="18"/>
          <w:color w:val="auto"/>
        </w:rPr>
        <w:t>. On and after the effective date of this Agreement and until the date that the Commitment hereunder has terminated and the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and interest on, each DIP Loans and all fees, expenses and other amounts payable under any DIP Loan Document (other than contingent indemnification obligations for which no claim or demand has been made) have been paid in full in cash:</w:t>
      </w:r>
    </w:p>
    <w:p>
      <w:pPr>
        <w:spacing w:after="0" w:line="175" w:lineRule="exact"/>
        <w:rPr>
          <w:sz w:val="20"/>
          <w:szCs w:val="20"/>
          <w:color w:val="auto"/>
        </w:rPr>
      </w:pPr>
    </w:p>
    <w:p>
      <w:pPr>
        <w:jc w:val="both"/>
        <w:ind w:firstLine="1304"/>
        <w:spacing w:after="0" w:line="252" w:lineRule="auto"/>
        <w:tabs>
          <w:tab w:leader="none" w:pos="1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Reporting Requirements</w:t>
      </w:r>
      <w:r>
        <w:rPr>
          <w:rFonts w:ascii="Times New Roman" w:cs="Times New Roman" w:eastAsia="Times New Roman" w:hAnsi="Times New Roman"/>
          <w:sz w:val="18"/>
          <w:szCs w:val="18"/>
          <w:color w:val="auto"/>
        </w:rPr>
        <w:t>. The Borrowers shall deliver to the Specified Financial Advisor and the DIP Agent (for delivery to the DIP Lenders) a rolling 13-week cash flow budget and cash flow projections of the Loan Parties that reflects on a line-item basis, separated by each prepetition securitization silo, Actual Cash Receipts and Actual Disbursement Amounts broken down by week (including Budgeted Cash Receipts and Budgeted Disbursement Amounts for such 13-week period) and the sum of weekly unrestricted cash on hand and cash in the Segregated Accounts, prepared by the Loan Parties in consultation with their financial advisors (the “</w:t>
      </w:r>
      <w:r>
        <w:rPr>
          <w:rFonts w:ascii="Times New Roman" w:cs="Times New Roman" w:eastAsia="Times New Roman" w:hAnsi="Times New Roman"/>
          <w:sz w:val="18"/>
          <w:szCs w:val="18"/>
          <w:u w:val="single" w:color="auto"/>
          <w:color w:val="auto"/>
        </w:rPr>
        <w:t>Budget</w:t>
      </w:r>
      <w:r>
        <w:rPr>
          <w:rFonts w:ascii="Times New Roman" w:cs="Times New Roman" w:eastAsia="Times New Roman" w:hAnsi="Times New Roman"/>
          <w:sz w:val="18"/>
          <w:szCs w:val="18"/>
          <w:color w:val="auto"/>
        </w:rPr>
        <w:t>”), (A) on or prior to the Closing Date and (B) on an updated basis by no later than 12:00 p.m. New York City time on the fourth Business Day of the week of every fourth calendar week thereafter (with, for the avoidance of doubt, the first such proposed budget becoming due on the fourth Business Day of the week after the week immediately following entry of the Interim DIP Order). Each Budget shall be subject to approval by, and in form and substance acceptable to the DIP Agent (at the written direction of the Required Lenders) (which approval may be conveyed to the Borrower and evidenced by email confirmation from the Specified Financial Advisor and the DIP Lenders hereby instruct the DIP Agent to conclusively rely on (and the DIP Agent shall be fully protected in doing so) such email confirmation without further approval from any Person). Upon the approval of the Budget as specified in the immediately preceding sentence, such Budget shall constitute the then-approved Approved Budget for all purposes hereunder and in the other DIP Loan Documents, effective as of the date of delivery of such Budget. Each Budget delivered to the Specified Financial Advisor and the DIP Agent (for delivery to the DIP Lenders) shall be accompanied by such supporting documentation as reasonably requested by the Specified Financial Advisor or the DIP Agent (at the written direction of Required Lenders). Each Budget shall be prepared in good faith, with reasonable due care and based upon assumptions which the Borrower believes to be reasonable at the time of delivery thereof. The Budget attached to the Interim DIP Order is the first Approved Budget.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ind w:firstLine="1304"/>
        <w:spacing w:after="0" w:line="251" w:lineRule="auto"/>
        <w:tabs>
          <w:tab w:leader="none" w:pos="155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Budget and Variances</w:t>
      </w:r>
      <w:r>
        <w:rPr>
          <w:rFonts w:ascii="Times New Roman" w:cs="Times New Roman" w:eastAsia="Times New Roman" w:hAnsi="Times New Roman"/>
          <w:sz w:val="18"/>
          <w:szCs w:val="18"/>
          <w:color w:val="auto"/>
        </w:rPr>
        <w:t>. Commencing on the second full-week following the entry of the Interim DIP Order and on a bi-weekly basis thereafter, and in any event not later than 5:00 p.m. New York City time on or prior to the fourth Business Day of each such week (each such delivery date, a “</w:t>
      </w:r>
      <w:r>
        <w:rPr>
          <w:rFonts w:ascii="Times New Roman" w:cs="Times New Roman" w:eastAsia="Times New Roman" w:hAnsi="Times New Roman"/>
          <w:sz w:val="18"/>
          <w:szCs w:val="18"/>
          <w:u w:val="single" w:color="auto"/>
          <w:color w:val="auto"/>
        </w:rPr>
        <w:t>Variance Report Date</w:t>
      </w:r>
      <w:r>
        <w:rPr>
          <w:rFonts w:ascii="Times New Roman" w:cs="Times New Roman" w:eastAsia="Times New Roman" w:hAnsi="Times New Roman"/>
          <w:sz w:val="18"/>
          <w:szCs w:val="18"/>
          <w:color w:val="auto"/>
        </w:rPr>
        <w:t>”), the Borrower shall deliver to the Specified Financial Advisor, the DIP Agent and the DIP Lenders, a variance report (each, a “</w:t>
      </w:r>
      <w:r>
        <w:rPr>
          <w:rFonts w:ascii="Times New Roman" w:cs="Times New Roman" w:eastAsia="Times New Roman" w:hAnsi="Times New Roman"/>
          <w:sz w:val="18"/>
          <w:szCs w:val="18"/>
          <w:u w:val="single" w:color="auto"/>
          <w:color w:val="auto"/>
        </w:rPr>
        <w:t>Variance Report</w:t>
      </w:r>
      <w:r>
        <w:rPr>
          <w:rFonts w:ascii="Times New Roman" w:cs="Times New Roman" w:eastAsia="Times New Roman" w:hAnsi="Times New Roman"/>
          <w:sz w:val="18"/>
          <w:szCs w:val="18"/>
          <w:color w:val="auto"/>
        </w:rPr>
        <w:t>”), and in a form acceptable to the Required Lenders in their sole discretion, setting forth in reasonable detail and showing separately for each (i) the FBG DIP Loan Parties on a consolidated basis and (ii) the Twin DIP Loan Parties on a consolidated basis: (x) on a line-by-line and aggregate basis, the Actual Cash Receipts and the Actual Disbursement Amounts, as of the last day of and immediately preceding rolling four-week period; (y) the aggregate disbursements for the Loan Parties’ administrative expenses in the Chapter 11 Cases (including professional fees) and (z) noting therein all variances, in dollar amounts and as a percentage, of the Actual Disbursement Amounts as of the last day of and immediately preceding rolling four-week period from the Budgeted Disbursement Amounts for such corresponding period as set forth in the Approved Budget as in effect for such period (such comparison on a consolidated basis for all Loan Parties, the “</w:t>
      </w:r>
      <w:r>
        <w:rPr>
          <w:rFonts w:ascii="Times New Roman" w:cs="Times New Roman" w:eastAsia="Times New Roman" w:hAnsi="Times New Roman"/>
          <w:sz w:val="18"/>
          <w:szCs w:val="18"/>
          <w:u w:val="single" w:color="auto"/>
          <w:color w:val="auto"/>
        </w:rPr>
        <w:t>Variance</w:t>
      </w:r>
      <w:r>
        <w:rPr>
          <w:rFonts w:ascii="Times New Roman" w:cs="Times New Roman" w:eastAsia="Times New Roman" w:hAnsi="Times New Roman"/>
          <w:sz w:val="18"/>
          <w:szCs w:val="18"/>
          <w:color w:val="auto"/>
        </w:rPr>
        <w:t>”). For each Variance Testing Period, on a consolidated basis for all Loan Parties, the Borrowers shall not permit (i) the Actual Disbursement Amounts to exceed, or (ii) the Actual Cash Receipts to be less than, in each case as compared to the applicable Budgeted Disbursement Amounts and Budgeted Cash Receipts for such period in the Approved Budget, the following thresholds (collectively, the “</w:t>
      </w:r>
      <w:r>
        <w:rPr>
          <w:rFonts w:ascii="Times New Roman" w:cs="Times New Roman" w:eastAsia="Times New Roman" w:hAnsi="Times New Roman"/>
          <w:sz w:val="18"/>
          <w:szCs w:val="18"/>
          <w:u w:val="single" w:color="auto"/>
          <w:color w:val="auto"/>
        </w:rPr>
        <w:t>Permitted Variances</w:t>
      </w:r>
      <w:r>
        <w:rPr>
          <w:rFonts w:ascii="Times New Roman" w:cs="Times New Roman" w:eastAsia="Times New Roman" w:hAnsi="Times New Roman"/>
          <w:sz w:val="18"/>
          <w:szCs w:val="18"/>
          <w:color w:val="auto"/>
        </w:rPr>
        <w:t xml:space="preserve">”): (A) for each part of each Variance Testing Period that falls within the first two full weeks following the entry of the Interim DIP Order, (1) one hundred fifteen percent (115%) with respect to Actual Disbursement Amounts and (2) eighty-five percent (85%) with respect to Actual Cash Receipts; (B) for each part of each Variance Testing Period that falls within the third full week following the entry of the Interim DIP Order, (1) one hundred twelve and one-half percent (112.5%) with respect to Actual Disbursement Amounts and (2) eighty-seven and one-half percent (87.5%) with respect to Actual Cash Receipts; and (C) for each part of each Variance Testing Period thereafter, (1) one hundred ten percent (110%) with respect to Actual Disbursement Amounts and (2) ninety percent (90%) with respect to Actual Cash Receipts (or, in each case, following an unforeseen material event, such other percentage requested by the Loan Parties and consented to by the DIP Agent (at the written direction of the Required Lenders, in their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determining compliance with the Permitted Variances with respect to Actual Disbursement Amounts for any Variance Testing Period, the Loan Parties may offset any Actual Disbursement Amounts attributable to restaurant operations that exceed the Budgeted Disbursement Amounts with any Actual Cash Receipts attributable to restaurant operations that exceed the Budgeted Cash Receipts, in each case for the same Variance Testing Period. For the avoidance of doubt, nothing in this Section 5 or any other section of this Agreement or any provision of any other Loan Document shall be construed to limit the timely payment of Allowed Professional fees (as defined in the DIP Order) that benefit from the Carve-Out as set forth in the DIP Order. Notwithstanding anything to the contrary in this Agreement, the Loan Parties shall not be deemed to have breached this Section 5(b) to the extent the actual professional fees, costs and expenses of the Loan Parties’ advisors, the DIP Agent’s advisors, the Prepetition Secured Parties’ advisors, and the advisors to the Official Committee (as defined in the DIP Order), respectively, exceed the applicable budgeted amounts for such fees, costs and expenses as set forth in the Approved Budget. The Borrowers shall test the Permitted Variance only in accordance with the then-operative Approved Budget.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ind w:left="420" w:hanging="236"/>
        <w:spacing w:after="0"/>
        <w:tabs>
          <w:tab w:leader="none" w:pos="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Affirmative Covenants</w:t>
      </w:r>
      <w:r>
        <w:rPr>
          <w:rFonts w:ascii="Times New Roman" w:cs="Times New Roman" w:eastAsia="Times New Roman" w:hAnsi="Times New Roman"/>
          <w:sz w:val="18"/>
          <w:szCs w:val="18"/>
          <w:color w:val="auto"/>
        </w:rPr>
        <w:t>. Each Borrower hereby, on behalf of itself and each Loan Party, covenants and agrees:</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04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the DIP Agent or its agents and advisors (in each case, at the written direction of the Required Lenders), (x) during any period when no Event of Default has occurred and is continuing, upon not less than one (1) Business Day’s prior written notice and during regular business hours, not more than two (2) times per calendar month, and (y) upon the occurrence and during the continuance of an Event of Default, at any time during regular business hours and without prior notice, to enter and inspect each of the Loan Party’s assets and properties, and provide the DIP Agent and the agents or advisors full access to the books and records of the Loan Parties, and cause management thereof to fully cooperate with the DIP Agent, its agents and advisors accordingly;</w:t>
      </w:r>
    </w:p>
    <w:p>
      <w:pPr>
        <w:spacing w:after="0" w:line="187" w:lineRule="exact"/>
        <w:rPr>
          <w:rFonts w:ascii="Times New Roman" w:cs="Times New Roman" w:eastAsia="Times New Roman" w:hAnsi="Times New Roman"/>
          <w:sz w:val="18"/>
          <w:szCs w:val="18"/>
          <w:color w:val="auto"/>
        </w:rPr>
      </w:pPr>
    </w:p>
    <w:p>
      <w:pPr>
        <w:ind w:left="180" w:firstLine="652"/>
        <w:spacing w:after="0" w:line="282" w:lineRule="auto"/>
        <w:tabs>
          <w:tab w:leader="none" w:pos="109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keep the DIP Agent apprised on a timely basis of all material developments with respect to the business and affairs of the Loan Parties and their respective Subsidiaries;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15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the DIP Agent with no less than two (2) Business Days’ notice of any motion, application or other filing to be brought or made by any Borrower or any other Loan Party in the Chapter 11 Cases or, where it is not practicable to do so, as much notice as is reasonably possible prior to any such filing to give the DIP Agent and the DIP Lenders a reasonable opportunity to review and comment on such draft materials before filing thereof or, where it is not practicable to do so, as much opportunity in the circumstances as is reasonably practicable to do;</w:t>
      </w:r>
    </w:p>
    <w:p>
      <w:pPr>
        <w:spacing w:after="0" w:line="183" w:lineRule="exact"/>
        <w:rPr>
          <w:rFonts w:ascii="Times New Roman" w:cs="Times New Roman" w:eastAsia="Times New Roman" w:hAnsi="Times New Roman"/>
          <w:sz w:val="18"/>
          <w:szCs w:val="18"/>
          <w:color w:val="auto"/>
        </w:rPr>
      </w:pPr>
    </w:p>
    <w:p>
      <w:pPr>
        <w:ind w:left="1140" w:hanging="308"/>
        <w:spacing w:after="0"/>
        <w:tabs>
          <w:tab w:leader="none" w:pos="11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0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(A) in all respects with the DIP Order and the Bidding Procedures Order and use all the proceeds of the DIP Facility in a manner consistent with the restrictions set forth in this Agreement and the DIP Order, and (B) in all material respects with all other Bankruptcy Court orders in the Chapter 11 Cases;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7" w:lineRule="auto"/>
        <w:tabs>
          <w:tab w:leader="none" w:pos="113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promptly notify the DIP Agent of (and, in any event, no later than two (2) Business Days after): (x) the occurrence of any Default or Event of Default and (y) any event that could reasonably be expected to (A) interfere with the Borrowers’ performance of their obligations hereunder in any material respect or in connection with any proposed sale of all or substantially all of the DIP Collateral or</w:t>
      </w:r>
    </w:p>
    <w:p>
      <w:pPr>
        <w:spacing w:after="0" w:line="1"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result in or cause a Material Adverse Effect;</w:t>
      </w:r>
    </w:p>
    <w:p>
      <w:pPr>
        <w:spacing w:after="0" w:line="206" w:lineRule="exact"/>
        <w:rPr>
          <w:rFonts w:ascii="Times New Roman" w:cs="Times New Roman" w:eastAsia="Times New Roman" w:hAnsi="Times New Roman"/>
          <w:sz w:val="18"/>
          <w:szCs w:val="18"/>
          <w:color w:val="auto"/>
        </w:rPr>
      </w:pPr>
    </w:p>
    <w:p>
      <w:pPr>
        <w:ind w:left="1180" w:hanging="348"/>
        <w:spacing w:after="0"/>
        <w:tabs>
          <w:tab w:leader="none" w:pos="118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the insurance in existence on the date hereof, with respect to the DIP Collateral;</w:t>
      </w:r>
    </w:p>
    <w:p>
      <w:pPr>
        <w:spacing w:after="0" w:line="225" w:lineRule="exact"/>
        <w:rPr>
          <w:rFonts w:ascii="Times New Roman" w:cs="Times New Roman" w:eastAsia="Times New Roman" w:hAnsi="Times New Roman"/>
          <w:sz w:val="18"/>
          <w:szCs w:val="18"/>
          <w:color w:val="auto"/>
        </w:rPr>
      </w:pPr>
    </w:p>
    <w:p>
      <w:pPr>
        <w:ind w:left="180" w:firstLine="652"/>
        <w:spacing w:after="0" w:line="282" w:lineRule="auto"/>
        <w:tabs>
          <w:tab w:leader="none" w:pos="124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in all material respects with all applicable laws, rules and regulations applicable to their businesses, including, without limitation, environmental laws;</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58" w:name="page59"/>
    <w:bookmarkEnd w:id="58"/>
    <w:p>
      <w:pPr>
        <w:ind w:left="180" w:firstLine="652"/>
        <w:spacing w:after="0" w:line="282" w:lineRule="auto"/>
        <w:tabs>
          <w:tab w:leader="none" w:pos="113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reasonable best efforts to obtain all material licenses and permits required for the operation of their businesses and to use reasonable best efforts to ensure such licenses and permits remain in full force and effect;</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0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and cause each Loan Party and their respective Subsidiaries to, comply in all material respects with all applicable statutes, regulations and orders of, and all applicable restrictions imposed by, all Governmental Authorities in respect of the conduct of its business and the ownership of its property (including applicable statutes, regulations, orders and restrictions relating to environmental standards and controls), except such non-compliances as could not, either individually or in the aggregate,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left="180" w:firstLine="652"/>
        <w:spacing w:after="0" w:line="282" w:lineRule="auto"/>
        <w:tabs>
          <w:tab w:leader="none" w:pos="114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and cause each Loan Party and their respective Subsidiaries to, do or cause to be done, all things necessary to preserve and keep in full force and effect its existence and its material rights, franchises, licenses, permits, copyrights, trademarks and patents;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2" w:lineRule="auto"/>
        <w:tabs>
          <w:tab w:leader="none" w:pos="118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proceeds of the DIP Loans and Cash Collateral may be used by the Borrowers only for the following payments, and subject to the terms and conditions set forth herein, in the DIP Orders and, in each case, consistent with the applicable line item amounts set forth in the Approved Budget (subject to Permitted Variances and in the Stipulated Allocation): (A) necessary operating and working capital expenses of the Loan Parties to fulfill franchisee obligations (the funding of which shall be provided as an intercompany loan from the Loan Parties, subject to compliance with the DIP Order and Approved Budget); (B) the Borrowers’ post-petition administrative expenses in accordance with the Approved Budget (subject to Permitted Variances); (C) obligations arising under the Carve-Out; (D) the agency fees and reasonable fees and expenses of the DIP Agent and the DIP Lenders owed under the DIP Loan Documents; (E) any Prepetition Secured Obligations of the Loan Parties pursuant to any First Day Order, “second day” order or other Final Order reasonably approved by the Required Lenders; (F) to the extent necessary, to make intercompany loans from one Loan Party to another Loan Party, which shall be secured by liens senior to the DIP Liens, (G) to make payments under the Governance Agreement and (H) to fund the expenses of the Parent and the Twin Manager and to pay management fees as may be required under the Management Agreements in exchange for the provision of the management services (the “</w:t>
      </w:r>
      <w:r>
        <w:rPr>
          <w:rFonts w:ascii="Times New Roman" w:cs="Times New Roman" w:eastAsia="Times New Roman" w:hAnsi="Times New Roman"/>
          <w:sz w:val="18"/>
          <w:szCs w:val="18"/>
          <w:u w:val="single" w:color="auto"/>
          <w:color w:val="auto"/>
        </w:rPr>
        <w:t>Management Fees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proceeds of the DIP Loans and the Cash Collateral being transferred to the Parent or the Twin Manager shall be subject to the Stipulated Allocation and be first applied to the payment of the Management Fees;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notwithstanding anything to the contrary set forth herein, the proceeds of the FBG New Money Term Loans shall be used only to pay the obligations of the FBG DIP Loan Parties and the proceeds of the Twin New Money Term Loans shall be used only to pay the obligations of the Twin DIP Loan Parties, in each case, subject to the Stipulated Allocation;</w:t>
      </w:r>
    </w:p>
    <w:p>
      <w:pPr>
        <w:spacing w:after="0" w:line="19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59" w:name="page60"/>
    <w:bookmarkEnd w:id="59"/>
    <w:p>
      <w:pPr>
        <w:jc w:val="both"/>
        <w:ind w:left="180" w:firstLine="652"/>
        <w:spacing w:after="0" w:line="258" w:lineRule="auto"/>
        <w:tabs>
          <w:tab w:leader="none" w:pos="1284"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promptly execute and deliver all further instruments and documents (including, without limitation, certificates, declarations, affidavits, reports and opinions) and take all further action that may be reasonably necessary, or that the DIP Agent (at the written direction of the Required Lenders) may reasonably require, to give effect to this Agreement, perfect and protect any DIP Lien or to enable the DIP Agent to exercise and enforce its rights and remedies with respect to the DIP Collateral, subject to the terms and conditions set forth in the DIP Order;</w:t>
      </w:r>
    </w:p>
    <w:p>
      <w:pPr>
        <w:spacing w:after="0" w:line="183" w:lineRule="exact"/>
        <w:rPr>
          <w:rFonts w:ascii="Times New Roman" w:cs="Times New Roman" w:eastAsia="Times New Roman" w:hAnsi="Times New Roman"/>
          <w:sz w:val="18"/>
          <w:szCs w:val="18"/>
          <w:color w:val="auto"/>
        </w:rPr>
      </w:pPr>
    </w:p>
    <w:p>
      <w:pPr>
        <w:ind w:left="1240" w:hanging="408"/>
        <w:spacing w:after="0"/>
        <w:tabs>
          <w:tab w:leader="none" w:pos="12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detailed and accurate accounting and records of proceeds of the DIP Loans (including detailed accounting of</w:t>
      </w:r>
    </w:p>
    <w:p>
      <w:pPr>
        <w:spacing w:after="0" w:line="27" w:lineRule="exact"/>
        <w:rPr>
          <w:rFonts w:ascii="Times New Roman" w:cs="Times New Roman" w:eastAsia="Times New Roman" w:hAnsi="Times New Roman"/>
          <w:sz w:val="18"/>
          <w:szCs w:val="18"/>
          <w:color w:val="auto"/>
        </w:rPr>
      </w:pPr>
    </w:p>
    <w:p>
      <w:pPr>
        <w:ind w:left="480" w:hanging="296"/>
        <w:spacing w:after="0"/>
        <w:tabs>
          <w:tab w:leader="none" w:pos="4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Intercompany Advances; and (B) the allocation of legal and other professional costs);</w:t>
      </w:r>
    </w:p>
    <w:p>
      <w:pPr>
        <w:spacing w:after="0" w:line="206"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18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operate its businesses in the ordinary course (subject to the terms of this Agreement and any limitations imposed as a result of operation as debtors-in-possession under the Bankruptcy Code) including (A) subject to entry of the cash management order, maintaining its existing bank accounts and not closing any bank accounts or creating any new bank accounts without the reasonable consent of the Required Lenders, (B) subject to entry of the cash management order, maintaining its existing cash management system,</w:t>
      </w:r>
    </w:p>
    <w:p>
      <w:pPr>
        <w:spacing w:after="0" w:line="2" w:lineRule="exact"/>
        <w:rPr>
          <w:rFonts w:ascii="Times New Roman" w:cs="Times New Roman" w:eastAsia="Times New Roman" w:hAnsi="Times New Roman"/>
          <w:sz w:val="18"/>
          <w:szCs w:val="18"/>
          <w:color w:val="auto"/>
        </w:rPr>
      </w:pPr>
    </w:p>
    <w:p>
      <w:pPr>
        <w:jc w:val="both"/>
        <w:ind w:left="180" w:firstLine="4"/>
        <w:spacing w:after="0" w:line="251" w:lineRule="auto"/>
        <w:tabs>
          <w:tab w:leader="none" w:pos="47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its registered office in the jurisdiction indicated in the notice provisions of the DIP Loan Documents to which it is party and not changing its name, the name under or by which it conducts its business, its organizational identification number, its jurisdiction of formation or organization, its type of organization or other legal structure or its chief executive office, and not permitting the documents and books in its possession or under its control evidencing the DIP Collateral to be moved, (D) without giving prior notice to the DIP Agent, not changing its accounting practices, policies, or treatment except to the extent required by applicable law, changes in GAAP or requirements of its independent accounts, (E) not becoming an “investment company” or a company “controlled” by an “investment company” within the meaning of the Investment Company Act of 1940, as amended, by virtue of an exemption other than pursuant to section 3(c)(l) or section 3(c)(7) thereof, (F) not becoming a “covered fund” under section 13 of the Bank Holding Company Act of 1956, as amended, and (G) not becoming an Affiliated Person of Axonic Alternative Income Fund or Axonic Strategic Income Fund, a series of Axonic Funds; and</w:t>
      </w:r>
    </w:p>
    <w:p>
      <w:pPr>
        <w:spacing w:after="0" w:line="192"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23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and cause its Subsidiaries to take, as applicable, each of the actions set forth on </w:t>
      </w:r>
      <w:r>
        <w:rPr>
          <w:rFonts w:ascii="Times New Roman" w:cs="Times New Roman" w:eastAsia="Times New Roman" w:hAnsi="Times New Roman"/>
          <w:sz w:val="18"/>
          <w:szCs w:val="18"/>
          <w:u w:val="single" w:color="auto"/>
          <w:color w:val="auto"/>
        </w:rPr>
        <w:t>Schedule 5(c)</w:t>
      </w:r>
      <w:r>
        <w:rPr>
          <w:rFonts w:ascii="Times New Roman" w:cs="Times New Roman" w:eastAsia="Times New Roman" w:hAnsi="Times New Roman"/>
          <w:sz w:val="18"/>
          <w:szCs w:val="18"/>
          <w:color w:val="auto"/>
        </w:rPr>
        <w:t xml:space="preserve"> hereto within the time period prescribed therefor on such schedule (as such time period may be extended by the Required Lenders in their reasonable discretion).</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60" w:name="page61"/>
    <w:bookmarkEnd w:id="60"/>
    <w:p>
      <w:pPr>
        <w:jc w:val="both"/>
        <w:ind w:firstLine="1304"/>
        <w:spacing w:after="0" w:line="256" w:lineRule="auto"/>
        <w:tabs>
          <w:tab w:leader="none" w:pos="155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Negative Covenants</w:t>
      </w:r>
      <w:r>
        <w:rPr>
          <w:rFonts w:ascii="Times New Roman" w:cs="Times New Roman" w:eastAsia="Times New Roman" w:hAnsi="Times New Roman"/>
          <w:sz w:val="18"/>
          <w:szCs w:val="18"/>
          <w:color w:val="auto"/>
        </w:rPr>
        <w:t>. Each Borrower hereby covenants and agrees, on behalf of itself and each Loan Party, on and after the effective date of this Agreement and until the date that the Commitment hereunder has terminated and the principal of and interest on each DIP Loans and all fees, expenses and other amounts payable under any DIP Loan Document (other than contingent indemnification obligations for which no claim or demand has been made) have been paid in full in cash, each Loan Party will not, and will not permit any of its Subsidiaries to (except to the extent the taking of any such action is expressly permitted, on a line item basis, in the Approved Budget (including with respect to the amount of such action, subject only to Permitted Variances)):</w:t>
      </w:r>
    </w:p>
    <w:p>
      <w:pPr>
        <w:spacing w:after="0" w:line="187"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16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Disposition other than Permitted Dispositions without the prior written reasonable consent of the Required Lenders and, as may be required by the Bankruptcy Code, an order of the Bankruptcy Court;</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22"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repudiate, terminate or disclaim any material contract without the prior written reasonable consent of the Required Lenders which would reasonably be expected to have a material adverse effect on the financial condition, operation or prospects of the Borrowers, the other Loan Parties and their respective Subsidiaries;</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26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 prepayment, purchase or defeasance (A) in respect of existing (i.e., in place prior to the Petition Date) or any other Indebtedness or other obligation (i.e., put in place on or after the Petition Date) or (B) otherwise prohibited by the DIP Order or any other DIP Loan Document, in each case, other than (x) the Obligations in accordance with this Agreement, and (y) the payment of interest and other non-principal amounts required under the Prepetition Notes to the extent such payments are permitted to be paid by orders of the Bankruptcy Court, in each case of each of clauses (x) and (y), as set forth in the Approved Budget or as may otherwise be permitted by an order of the Bankruptcy Court or consented to (in advance) in writing by the DIP Agent (at the written direction of the Required Lenders, acting reasonably); provided, that for the avoidance of doubt, no Indebtedness junior to the Obligations shall be paid without the prior written reasonable consent of the Ad Hoc Group;</w:t>
      </w:r>
    </w:p>
    <w:p>
      <w:pPr>
        <w:spacing w:after="0" w:line="191" w:lineRule="exact"/>
        <w:rPr>
          <w:rFonts w:ascii="Times New Roman" w:cs="Times New Roman" w:eastAsia="Times New Roman" w:hAnsi="Times New Roman"/>
          <w:sz w:val="18"/>
          <w:szCs w:val="18"/>
          <w:color w:val="auto"/>
        </w:rPr>
      </w:pPr>
    </w:p>
    <w:p>
      <w:pPr>
        <w:ind w:left="1300" w:firstLine="652"/>
        <w:spacing w:after="0" w:line="282" w:lineRule="auto"/>
        <w:tabs>
          <w:tab w:leader="none" w:pos="229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assume, incur or suffer to exist any Indebtedness other than Permitted Indebtedness without the prior written reasonable consent of the Required Lenders;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1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assume or suffer to exist any Liens on any of its properties or assets other than Permitted Liens without the prior written reasonable consent of the Required Lenders and, as may be required by the Bankruptcy Code, an order of the Bankruptcy Court;</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7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any compensation, termination, or severance entitlement whatsoever or pay any termination or severance pay to executives of any Loan Party or Subsidiary, each without the prior written consent of the Required Lenders and, as may be required by the Bankruptcy Code, an order of the Bankruptcy Court;</w:t>
      </w:r>
    </w:p>
    <w:p>
      <w:pPr>
        <w:spacing w:after="0" w:line="175" w:lineRule="exact"/>
        <w:rPr>
          <w:rFonts w:ascii="Times New Roman" w:cs="Times New Roman" w:eastAsia="Times New Roman" w:hAnsi="Times New Roman"/>
          <w:sz w:val="18"/>
          <w:szCs w:val="18"/>
          <w:color w:val="auto"/>
        </w:rPr>
      </w:pPr>
    </w:p>
    <w:p>
      <w:pPr>
        <w:ind w:left="1300" w:firstLine="652"/>
        <w:spacing w:after="0" w:line="282" w:lineRule="auto"/>
        <w:tabs>
          <w:tab w:leader="none" w:pos="231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its name, amalgamate, consolidate with or merge into, dispose of all or substantially all of its assets, or enter into any similar transaction with any other entity without the prior written reasonable consent of the Required Lenders;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jc w:val="both"/>
        <w:ind w:left="180" w:firstLine="652"/>
        <w:spacing w:after="0" w:line="266" w:lineRule="auto"/>
        <w:tabs>
          <w:tab w:leader="none" w:pos="124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materially delay an Acceptable Sale Process in accordance with the Milestones including, without limitation, filing any plan or other sale process in the Chapter 11 Cases without the prior written consent of the Required Lenders;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7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public announcement in respect of, enter into any agreement or letter of intent with respect to, attempt to consummate or support any third party’s attempt to consummate any transaction or agreement that would adversely impact the ability of the Loan Parties to consummate the Acceptable Sale Process or Bidding Procedures Order in accordance with the Milestones;</w:t>
      </w:r>
    </w:p>
    <w:p>
      <w:pPr>
        <w:spacing w:after="0" w:line="175" w:lineRule="exact"/>
        <w:rPr>
          <w:rFonts w:ascii="Times New Roman" w:cs="Times New Roman" w:eastAsia="Times New Roman" w:hAnsi="Times New Roman"/>
          <w:sz w:val="18"/>
          <w:szCs w:val="18"/>
          <w:color w:val="auto"/>
        </w:rPr>
      </w:pPr>
    </w:p>
    <w:p>
      <w:pPr>
        <w:ind w:left="180" w:firstLine="652"/>
        <w:spacing w:after="0" w:line="282" w:lineRule="auto"/>
        <w:tabs>
          <w:tab w:leader="none" w:pos="109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hold any Investment other than Permitted Investments without the prior written reasonable consent of the Required Lenders and, as may be required by the Bankruptcy Code, an order of the Bankruptcy Court;</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4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declare or make, directly or indirectly, any Restricted Payment without the prior written consent of the Required Lenders (other than dividends and distributions (x) by any Subsidiary of the Borrowers to the Borrowers or any other Subsidiary of the Borrowers that is a Loan Party in accordance with their applicable ownership percentage); (y) the proceeds of which will be used to pay franchise taxes and other fees, Taxes and expenses required to maintain its corporate or legal existence; and (z) for any taxable period in which a Borrower, for U.S. federal income tax purposes, (A) is disregarded as an entity separate from a direct or indirect owner that is taxable as a corporation or (B) is a member of a group filing a consolidated, combined, unitary, affiliated, or similar income tax return of which any direct or indirect owner of such Borrower is the common parent, as are necessary to permit such direct or indirect owner of such Borrower to pay the Tax liability (including payments of estimated taxes) attributable to such Borrower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distributions shall not, in the aggregate, exceed the amount of taxes that the Borrower would have been required to pay for such taxable period if it were the parent of a standalone affiliated group filing a consolidated tax return with its Subsidiaries, reduced by any amounts of tax paid directly by the Borrower or any of its Subsidiaries to the relevant taxing authority for the relevant taxable period with respect to any taxable income or gain of the Borrower and its Subsidiaries;</w:t>
      </w:r>
    </w:p>
    <w:p>
      <w:pPr>
        <w:spacing w:after="0" w:line="189" w:lineRule="exact"/>
        <w:rPr>
          <w:rFonts w:ascii="Times New Roman" w:cs="Times New Roman" w:eastAsia="Times New Roman" w:hAnsi="Times New Roman"/>
          <w:sz w:val="18"/>
          <w:szCs w:val="18"/>
          <w:color w:val="auto"/>
        </w:rPr>
      </w:pPr>
    </w:p>
    <w:p>
      <w:pPr>
        <w:ind w:left="180" w:firstLine="652"/>
        <w:spacing w:after="0" w:line="282" w:lineRule="auto"/>
        <w:tabs>
          <w:tab w:leader="none" w:pos="120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business other than the businesses engaged in by the Borrowers and the Loan Parties on the date hereof, similar or related businesses without the written reasonable consent of the Required Lenders;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26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permit to exist any transaction (including the purchase, sale, lease or exchange of any property or the rendering of any service) with any Affiliate on terms that are less favorable to the Loan Party or Subsidiary, as the case may be, than those that might be obtained at the time from Persons who are not such an Affiliate (as determined by the Borrower in good faith after consultation with the DIP Agent (at the written direction of the Required Lenders)), provided that this clause (xiii) shall not restrict or limit any Acceptable Sale Transaction pursuant to an Acceptable Sale Process;</w:t>
      </w:r>
    </w:p>
    <w:p>
      <w:pPr>
        <w:spacing w:after="0" w:line="18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62" w:name="page63"/>
    <w:bookmarkEnd w:id="62"/>
    <w:p>
      <w:pPr>
        <w:jc w:val="both"/>
        <w:ind w:left="180" w:firstLine="652"/>
        <w:spacing w:after="0" w:line="261" w:lineRule="auto"/>
        <w:tabs>
          <w:tab w:leader="none" w:pos="123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after the date hereof to exist any contractual obligations (other than this Agreement and Permitted Liens) that limit the ability of (a) any Subsidiary to make Restricted Payments to the Borrowers or any Guarantor; or (b) any Loan Party to create, incur, answer or suffer to exist Liens on property or assets of such Person for the benefit of the DIP Agent with respect to the DIP Facility and the obligations hereunder;</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8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seek or consent to any reversal, modification, amendments, stay or vacation of (i) the Interim DIP Order, (ii) the Final DIP Order, (iii) the Bidding Procedures Order or (iv) the Sale Order, in each case, without the prior written consent of the Required Lenders;</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1" w:lineRule="auto"/>
        <w:tabs>
          <w:tab w:leader="none" w:pos="122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seek or consent to a priority for any administrative expense against the Loan Parties (now existing or hereafter arising) of any kind or nature whatsoever (including, without limitation, any administrative expenses of the kind specified in, or ordered under, sections 105(a), 326, 328, 330, 331, 503(b), 506(c), 507, 546(c), 726, 1113 and 1114 of the Bankruptcy Code) equal to or superior to the priority of the DIP Agent in respect of the Obligations except as expressly permitted in the DIP Order;</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27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or consent to a sale of any of the DIP Collateral other than Permitted Dispositions or pursuant to an Acceptable Sale Process or as otherwise permitted by this Agreement in each case without the prior written reasonable consent of the Required Lenders or, as may be required by the Bankruptcy Code or an order of the Bankruptcy Court;</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33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divide into two or more Persons pursuant to a “plan of division” or similar method, or (B) create, or reorganize into, one or more Persons, in each case, as contemplated under the laws of any jurisdiction, in each case, except as may be required by the Bankruptcy Code or an order of the Bankruptcy Court;</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58" w:lineRule="auto"/>
        <w:tabs>
          <w:tab w:leader="none" w:pos="123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Collateral, whether the proceeds of DIP Loans or otherwise, other than for purposes set forth in the Approved Budget, notwithstanding any other provision of this Agreement, or in amounts that exceed the Permitted Variances, without the prior written consent of the Required Lenders; provided that any amounts allocated in the Approved Budget to a key employee retention program shall not be paid or awarded without the prior written consent of the Required Lenders but shall be in accordance with the Stipulated Allocation; or</w:t>
      </w:r>
    </w:p>
    <w:p>
      <w:pPr>
        <w:spacing w:after="0" w:line="183"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17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approval of any order in the Chapter 11 Cases that materially and adversely affects the DIP Lenders (in their capacity as such) or the Loan Parties’ ability to perform their obligations and violate this Agreement, the DIP Facility, and any other related DIP Loan Documents without the prior written approval of the DIP Agent, acting at the direction of the Required Lenders.</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63" w:name="page64"/>
    <w:bookmarkEnd w:id="63"/>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nothing in this Section 5(d) and nothing else in this Agreement or any other DIP Loan Document shall be construed to prohibit transactions specified in, or contemplated by, the Sale Order and the consummation of any transaction in the Sale Order shall not be deemed to cause any breach, Default or Event of Default under this Agreement or any other DIP Loan Document.</w:t>
      </w:r>
    </w:p>
    <w:p>
      <w:pPr>
        <w:spacing w:after="0" w:line="176" w:lineRule="exact"/>
        <w:rPr>
          <w:sz w:val="20"/>
          <w:szCs w:val="20"/>
          <w:color w:val="auto"/>
        </w:rPr>
      </w:pPr>
    </w:p>
    <w:p>
      <w:pPr>
        <w:ind w:firstLine="1304"/>
        <w:spacing w:after="0" w:line="282" w:lineRule="auto"/>
        <w:tabs>
          <w:tab w:leader="none" w:pos="15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Milestones</w:t>
      </w:r>
      <w:r>
        <w:rPr>
          <w:rFonts w:ascii="Times New Roman" w:cs="Times New Roman" w:eastAsia="Times New Roman" w:hAnsi="Times New Roman"/>
          <w:sz w:val="18"/>
          <w:szCs w:val="18"/>
          <w:color w:val="auto"/>
        </w:rPr>
        <w:t>. Each Loan Party hereby covenants and agrees to comply with the milestones (the “</w:t>
      </w:r>
      <w:r>
        <w:rPr>
          <w:rFonts w:ascii="Times New Roman" w:cs="Times New Roman" w:eastAsia="Times New Roman" w:hAnsi="Times New Roman"/>
          <w:sz w:val="18"/>
          <w:szCs w:val="18"/>
          <w:u w:val="single" w:color="auto"/>
          <w:color w:val="auto"/>
        </w:rPr>
        <w:t>Milestones</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5(e)</w:t>
      </w:r>
      <w:r>
        <w:rPr>
          <w:rFonts w:ascii="Times New Roman" w:cs="Times New Roman" w:eastAsia="Times New Roman" w:hAnsi="Times New Roman"/>
          <w:sz w:val="18"/>
          <w:szCs w:val="18"/>
          <w:color w:val="auto"/>
        </w:rPr>
        <w:t>, unless otherwise agreed to in writing (email being sufficient) by the DIP Agent (at the written direction of the Required Lenders).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3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Covenants</w:t>
      </w:r>
      <w:r>
        <w:rPr>
          <w:rFonts w:ascii="Times New Roman" w:cs="Times New Roman" w:eastAsia="Times New Roman" w:hAnsi="Times New Roman"/>
          <w:sz w:val="18"/>
          <w:szCs w:val="18"/>
          <w:color w:val="auto"/>
        </w:rPr>
        <w:t>. Each Borrower hereby further covenants and agrees, on behalf of itself and the Loan Parties, to comply with the following (subject, in each case, to the Bidding Procedures Order or other court order):</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19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communicate directly with and make itself reasonably available to the DIP Agent and its Representatives following the occurrence of the Milestone specified in clause (vi) of </w:t>
      </w:r>
      <w:r>
        <w:rPr>
          <w:rFonts w:ascii="Times New Roman" w:cs="Times New Roman" w:eastAsia="Times New Roman" w:hAnsi="Times New Roman"/>
          <w:sz w:val="18"/>
          <w:szCs w:val="18"/>
          <w:u w:val="single" w:color="auto"/>
          <w:color w:val="auto"/>
        </w:rPr>
        <w:t>Schedule 5(e)</w:t>
      </w:r>
      <w:r>
        <w:rPr>
          <w:rFonts w:ascii="Times New Roman" w:cs="Times New Roman" w:eastAsia="Times New Roman" w:hAnsi="Times New Roman"/>
          <w:sz w:val="18"/>
          <w:szCs w:val="18"/>
          <w:color w:val="auto"/>
        </w:rPr>
        <w:t xml:space="preserve"> hereof, at such times as may be requested by the DIP Agent or its Representatives, in connection with effecting an Acceptable Sale Transaction;</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2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two (2) Business Days) provide the DIP Agent with notice of any knowledge of (x) any material change or development relating to the Bidding Procedures or such Acceptable Sale Transaction, or (y) any material changes in the financial, collateral or operational condition, businesses, assets, liabilities or prospects of any Loan Parties;</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61" w:lineRule="auto"/>
        <w:tabs>
          <w:tab w:leader="none" w:pos="228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event within two (2) Business Days) provide the DIP Agent with unredacted copies of all written materials provided to or produced by the Loan Parties or their Representatives to potential bidders in connection with any potential Acceptable Sale Transaction (which obligation may be satisfied in full by providing the DIP Agent or DIP Lender with access to the virtual data room to which such bidders have been granted access to such materials);</w:t>
      </w:r>
    </w:p>
    <w:p>
      <w:pPr>
        <w:spacing w:after="0" w:line="179"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6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Loan Parties and their Representatives reasonably available for presentation to, and interviews, meetings or calls with, each bona fide prospective purchaser, lender or investor in connection with a potential Acceptable Sale Transaction as reasonably determined by the Borrowers in good faith;</w:t>
      </w:r>
    </w:p>
    <w:p>
      <w:pPr>
        <w:spacing w:after="0" w:line="175" w:lineRule="exact"/>
        <w:rPr>
          <w:rFonts w:ascii="Times New Roman" w:cs="Times New Roman" w:eastAsia="Times New Roman" w:hAnsi="Times New Roman"/>
          <w:sz w:val="18"/>
          <w:szCs w:val="18"/>
          <w:color w:val="auto"/>
        </w:rPr>
      </w:pPr>
    </w:p>
    <w:p>
      <w:pPr>
        <w:jc w:val="both"/>
        <w:ind w:left="1300" w:right="20" w:firstLine="652"/>
        <w:spacing w:after="0" w:line="266" w:lineRule="auto"/>
        <w:tabs>
          <w:tab w:leader="none" w:pos="222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DIP Agent, DIP Lender and any of its Representatives with reasonable access rights and review rights at all times to virtual data rooms and any other information provided to potential bidders in connection with a potential Acceptable Sale Transaction;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jc w:val="both"/>
        <w:ind w:left="1300" w:firstLine="652"/>
        <w:spacing w:after="0" w:line="261" w:lineRule="auto"/>
        <w:tabs>
          <w:tab w:leader="none" w:pos="2269"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Loan Parties and their Representatives available for (with reasonable prior notice and at reasonable times), and host, telephonic conference calls with the DIP Agent, the DIP Lenders, and/or their Representatives, to discuss the general status of the potential Acceptable Sale Transaction, in each case no less frequently than weekly to the extent requested by the DIP Agent (at the written direction of the Required Lenders).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Approved Budget</w:t>
      </w:r>
      <w:r>
        <w:rPr>
          <w:rFonts w:ascii="Times New Roman" w:cs="Times New Roman" w:eastAsia="Times New Roman" w:hAnsi="Times New Roman"/>
          <w:sz w:val="18"/>
          <w:szCs w:val="18"/>
          <w:color w:val="auto"/>
        </w:rPr>
        <w:t>. Each Borrower hereby further covenants and agrees, on behalf of itself and the Loan Parties, that the use of DIP Loans and other credit extensions by DIP Lenders under this Agreement and the other DIP Loan Documents shall be consistent with the latest Approved Budget approved in accordance with Section 5(a), subject to the Permitted Variance.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Performance of Services</w:t>
      </w:r>
      <w:r>
        <w:rPr>
          <w:rFonts w:ascii="Times New Roman" w:cs="Times New Roman" w:eastAsia="Times New Roman" w:hAnsi="Times New Roman"/>
          <w:sz w:val="18"/>
          <w:szCs w:val="18"/>
          <w:color w:val="auto"/>
        </w:rPr>
        <w:t>. In consideration of the DIP Lenders making available the DIP Facility to each Borrower, the Parent and the Twin Manager shall perform the servicing and administration of each Loan Party’s assets in a manner consistent with the Approved Budget, including, without limitation:</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19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the duties and obligations of, and exercising and enforcing the rights of, the Loan Parties under agreements material to their business (including franchise agreements, development agreements and related documents), including preparing and delivering any reports, filings, instruments, certificates and notices required thereunder, making or causing the collection of amounts owing thereunder, enforcing the Loan Parties’ rights and obligations thereunder, and approving amendments, waivers, modifications, extensions, write-downs, write-offs, terminations and assignments thereof;</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225"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those actions that are required to maintain continuous perfection (where applicable) and priority of the DIP Agent’s interests in the DIP Collateral (but not, for the avoidance of doubt, any Excluded Asset), in accordance with the DIP Order and the terms of this Agreement;</w:t>
      </w:r>
    </w:p>
    <w:p>
      <w:pPr>
        <w:spacing w:after="0" w:line="175"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271"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maintaining, protecting, enforcing, defending, leasing and undertaking such other duties and services as may be necessary in connection with real estate assets on behalf of each Loan Party, including negotiating, executing and recording leases, subleases, deeds and other contracts relating to real estate assets, enforcing and exercising each Loan Party’s rights under leases, paying or defending any obligation or claim relating to any real estate assets, collecting amounts payable under real estate assets, acquiring and disposing of real estate assets, conducting environmental evaluation and remediation activities, obtaining appropriate levels of title and property insurance, making repairs and replacements to existing improvements and constructing new improvements, employing agents, managers, brokers or other persons necessary to manage and operate real estate assets, and paying taxes, charges and assessments levied on any real estate assets;</w:t>
      </w:r>
    </w:p>
    <w:p>
      <w:pPr>
        <w:spacing w:after="0" w:line="191" w:lineRule="exact"/>
        <w:rPr>
          <w:rFonts w:ascii="Times New Roman" w:cs="Times New Roman" w:eastAsia="Times New Roman" w:hAnsi="Times New Roman"/>
          <w:sz w:val="18"/>
          <w:szCs w:val="18"/>
          <w:color w:val="auto"/>
        </w:rPr>
      </w:pPr>
    </w:p>
    <w:p>
      <w:pPr>
        <w:ind w:left="2300" w:hanging="348"/>
        <w:spacing w:after="0"/>
        <w:tabs>
          <w:tab w:leader="none" w:pos="230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and compiling information required in connection with any report or certificate to be delivered under this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jc w:val="both"/>
        <w:ind w:left="1300" w:firstLine="652"/>
        <w:spacing w:after="0" w:line="258" w:lineRule="auto"/>
        <w:tabs>
          <w:tab w:leader="none" w:pos="2222"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bankruptcy law, the terms of the DIP Orders and any required approval or order by the Bankruptcy Court, preparing and filing all tax returns and tax reports required to be prepared by any Loan Party, and paying or causing to be paid or discharged, in each case from funds of the Loan Parties in accordance with the Approved Budget, any and all taxes, charges and assessments required to be paid under applicable law by any Loan Party, except to the extent such payment is stayed by the commencement of the Chapter 11 Cases;</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8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all material duties and obligations of the Loan Parties in connection with operations and ownership of the restaurants, including (x) paying taxes, collecting revenues, maintaining property and casualty insurance, and performing activities necessary for operation, development, acquisition, closure and disposition of restaurants, (y) hiring, training and managing restaurant employees, administering personnel and human resources, and negotiating with vendors, suppliers, distributors and other third parties and</w:t>
      </w:r>
    </w:p>
    <w:p>
      <w:pPr>
        <w:spacing w:after="0" w:line="2"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repairs and maintenance and maintaining liquor licenses;</w:t>
      </w:r>
    </w:p>
    <w:p>
      <w:pPr>
        <w:spacing w:after="0" w:line="206"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30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filing franchise disclosure documents complying with franchise industry specific government regulation and applicable law;</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37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arranging for legal, accounting and tax services with respect to each Loan Party’s assets, including with respect to the enforcement of each Loan Party’s material agreements;</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arranging for or providing accounting and financial reporting services;</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42"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developing, managing, maintaining, protecting, enforcing, defending, licensing, and sublicensing the owned intellectual property and other intellectual property owned or held by each Loan Party, including filing, prosecuting and maintaining trademark and patent applications and registrations worldwide, monitoring, policing and enforcing the owned intellectual property against infringement and unauthorized use, confirming legal title and recording security interests in the owned intellectual property, and administering quality control over licensees’ use of licensed trademarks;</w:t>
      </w:r>
    </w:p>
    <w:p>
      <w:pPr>
        <w:spacing w:after="0" w:line="183"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marketing and promotional programs relating to the restaurants; and</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309"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services as may be necessary or appropriate from time to time and consistent with (i) the operations of the Loan Parties and (ii) the Management Agreements (notwithstanding the termination of them).</w:t>
      </w:r>
    </w:p>
    <w:p>
      <w:pPr>
        <w:spacing w:after="0" w:line="162" w:lineRule="exact"/>
        <w:rPr>
          <w:sz w:val="20"/>
          <w:szCs w:val="20"/>
          <w:color w:val="auto"/>
        </w:rPr>
      </w:pPr>
    </w:p>
    <w:p>
      <w:pPr>
        <w:jc w:val="both"/>
        <w:ind w:firstLine="1304"/>
        <w:spacing w:after="0" w:line="255" w:lineRule="auto"/>
        <w:tabs>
          <w:tab w:leader="none" w:pos="15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5 or anything else in this Agreement or any other DIP Loan Document, in no way shall any Budget (including any Approved Budget), the Carve-Out or any other budget or financial be construed as a cap or limitation on the amount of professional fees due and payable by the Borrower and its Subsidiaries consistent with the DIP Loan Documents and that may be allowed by the Bankruptcy Court at any time (including on an interim basis). The Borrower and its Subsidiaries’ authority to use cash collateral or proceeds of the DIP Facility or the DIP Collateral on account of, and to timely pay, such allowed professional fees of the Borrower and its Subsidiaries and the other obligations benefitting from the Carve-Out shall in no way (i) be limited or deemed limited by any Budget or (ii) cause a breach, Default or Event of Default under this Agreement or any other Loan Document.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Events of Default</w:t>
      </w:r>
      <w:r>
        <w:rPr>
          <w:rFonts w:ascii="Times New Roman" w:cs="Times New Roman" w:eastAsia="Times New Roman" w:hAnsi="Times New Roman"/>
          <w:sz w:val="18"/>
          <w:szCs w:val="18"/>
          <w:color w:val="auto"/>
        </w:rPr>
        <w:t>. The occurrence of any one or more of the following events, regardless of the reason therefore, shall constitute an “</w:t>
      </w:r>
      <w:r>
        <w:rPr>
          <w:rFonts w:ascii="Times New Roman" w:cs="Times New Roman" w:eastAsia="Times New Roman" w:hAnsi="Times New Roman"/>
          <w:sz w:val="18"/>
          <w:szCs w:val="18"/>
          <w:u w:val="single" w:color="auto"/>
          <w:color w:val="auto"/>
        </w:rPr>
        <w:t>Event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hereunder:</w:t>
      </w:r>
    </w:p>
    <w:p>
      <w:pPr>
        <w:spacing w:after="0" w:line="207" w:lineRule="exact"/>
        <w:rPr>
          <w:sz w:val="20"/>
          <w:szCs w:val="20"/>
          <w:color w:val="auto"/>
        </w:rPr>
      </w:pPr>
    </w:p>
    <w:p>
      <w:pPr>
        <w:ind w:right="20" w:firstLine="1304"/>
        <w:spacing w:after="0" w:line="282" w:lineRule="auto"/>
        <w:tabs>
          <w:tab w:leader="none" w:pos="155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Borrowers to pay any principal when due, whether at stated maturity, by acceleration, by required prepayment or otherwise, or shall fail to pay any installment of interest, fee or other amount payable hereunder within three (3) Business Days of the date when due;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warranty or statement made or deemed made by or on behalf of any Loan Party herein or in any other DIP Loan Document or other document related hereto or thereto or in any certificate delivered to the DIP Agent pursuant hereto shall prove to be untrue in any material respect (or, in the case of any representation, warranty or statement qualified by materiality, in any respect) on the date as of which made or deemed made;</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or any of their respective Subsidiaries fail to perform or observe any term, covenant or agreement contained in any of Sections 5(a), 5(b), 5(c)(iii), 5(c)(iv), 5(c)(v), 5(c)(vi), 5(c)(xii), 5(d), 5(e) (including as the result of the failure of any Milestone to be timely satisfied), 5(f), 5(g) or 5(h); provided, however that, any Debtor’s failure to meet any Milestone that requires a hearing date solely due to the Bankruptcy Court’s unavailability shall not constitute an immediate Event of Default unless such failure continues for five (5) Business Days after the date on which such Milestone was required to be satisfied;</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or any of their respective Subsidiaries fail to perform or observe any other provision of this Agreement or any other DIP Loan Document (other than those set forth in clauses (a), (b) and (c) above) and such default shall continue unremedied for a period of five (5) days after the earlier of (i) the date on which such Default shall first actually become known to any officer of any Borrower or any other Loan Party or (ii) the date on which written notice thereof is given to the defaulting party by the DIP Lender;</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7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have entered an order (i) converting any of the Chapter 11 Cases to a case under chapter 7 of the Bankruptcy Code, or (ii) dismissing any of the Chapter 11 Cases;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by the Bankruptcy Court of, or the expiration of, the exclusive period for the Debtors to file a plan of reorganization in the Chapter 11 Cases as set forth in section 1121 of the Bankruptcy Code;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(i) obtains any post-petition debtor-in-possession financing pursuant to section 364 of the Bankruptcy Code other than the DIP Facility, or (ii) seeks authorization from the Bankruptcy Court to obtain any such financing, in each case, without the prior written consent of the Required Lenders;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7" w:name="page68"/>
    <w:bookmarkEnd w:id="67"/>
    <w:p>
      <w:pPr>
        <w:jc w:val="both"/>
        <w:ind w:firstLine="1304"/>
        <w:spacing w:after="0" w:line="266" w:lineRule="auto"/>
        <w:tabs>
          <w:tab w:leader="none" w:pos="157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any order by the Bankruptcy Court reversing, amending, supplementing, staying for a period of ten (10) days or more, vacating or otherwise amending, supplementing or modifying the DIP Order, Sale Order, or Bidding Procedures Order, without the prior written consent of the Required Lenders;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1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Interim DIP Order or the Final DIP Order, as applicable, shall cease to create valid and perfected Liens on the DIP Collateral with the priority set forth therein or otherwise cease to be valid and binding and in full force and effect;</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Debtors shall seek entry of an order that the DIP Agent or the DIP Lenders are not entitled to Credit Bid in full the Obligations;</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shall enter an order or orders granting relief from the automatic stay applicable under section 362 of the Bankruptcy Code pertaining to the DIP Collateral to the holder or holders of any security interest (other than a holder or holders of a security interest ranking senior in priority to the DIP Liens securing the DIP Loans) to (i) permit foreclosure (or the granting of a deed or lieu of foreclosing or the like) on any assets of the Loan Parties which would materially delay the consummation of an Acceptable Sale Transaction or (ii) permit the exercise of any other rights or remedies against any of the DIP Collateral (unless constituting a sale, Disposition or other disposition not prohibited by this Agreement);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judgments, orders (other than orders, judgments or decrees related to the payment of professional advisors) or decrees for the payment of money required to be satisfied as an administrative expense claim in the Chapter 11 Cases shall be allowed by the Bankruptcy Court in an aggregate amount (to the extent not paid or covered by insurance) that is reasonably expected to cause the Loan Parties to fail to comply (subject to Permitted Variances and any applicable grace and/or cure period) with the requirements set forth in Section 5(b) hereof;</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1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asserted (by any Loan Party or any Affiliate thereof) invalidity or impairment of this Agreement or any related DIP Loan Document (including the failure of any Lien to remain perfected);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by any Loan Party with the terms of the Interim DIP Order and/or the Final DIP Order;</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Debtor files, amends or modifies, or files a pleading seeking approval of, any material order or document approved in the Chapter 11 Cases in a manner that is directly inconsistent with the DIP Agent or DIP Lenders’ consent and approval rights under this Agreement and the other DIP Loan Documents;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enters an order or orders (i) to sell, transfer, lease, exchange, alienate or otherwise dispose of any of the DIP Collateral pursuant to section 363 of the Bankruptcy Code or otherwise other than pursuant to an Acceptable Sale Transaction in accordance with an Acceptable Sale Process, as permitted by this Agreement or with the reasonable prior written consent of the Required Lenders;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Loan Parties shall take any action in support of any matter set forth in Sections 6(e), (f), (i), (l) or (n) or any other Person shall do so and such application is not contested in good faith by the Loan Parties and the relief requested is granted in an order that not stayed pending appeal;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8" w:name="page69"/>
    <w:bookmarkEnd w:id="68"/>
    <w:p>
      <w:pPr>
        <w:ind w:firstLine="1304"/>
        <w:spacing w:after="0" w:line="282" w:lineRule="auto"/>
        <w:tabs>
          <w:tab w:leader="none" w:pos="152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file a motion, pleading or proceeding which would reasonably be expected to result in a material impairment of the rights or interests of the DIP Lenders under this Agreement;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Borrowers or the Loan Parties change the membership or composition of its board of directors, or the membership of the Special Committee, from the membership on the Closing Date, unless approved by the DIP Agent (at the written direction of the Required Lenders, acting reasonably);</w:t>
      </w:r>
    </w:p>
    <w:p>
      <w:pPr>
        <w:spacing w:after="0" w:line="17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with respect to any of the Loan Parties other than as a result of a Permitted Disposition;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the use of Cash Collateral pursuant to the DIP Order other than as provided in this Agreement and the DIP Orders;</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Loan Parties shall seek to, join or support (whether by way of motion or other pleadings filed with the Bankruptcy Court or any other writing executed by any Loan Party or by oral argument) any other person in seeking to: (i) contest or disallow in whole or in part any of the Obligations arising under this Agreement or any other DIP Loan Document (or any such order is entered), or the claims of the DIP Lenders arising under the Prepetition Notes Documents or (ii) challenge the validity, enforceability or perfection of the Liens or security interests granted or confirmed herein or in the Interim DIP Order or the Final DIP Order and the other security documents in favor of the Secured Parties or the Liens securing the applicable Obligations of the Loan Parties or their obligations to the DIP Lenders under the Prepetition Notes Documents;</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9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shall make any payment (as adequate protection or otherwise), or application for authority to pay, on account of any claim or debt arising prior to the Petition Date other than payments expressly authorized pursuant to this Agreement or by the Bankruptcy Court in the Interim DIP Order, the Final DIP Order, any First Day Orders or “second day” order entered by the Bankruptcy Court in the Bankruptcy Cases (subject to the Approved Budget and Permitted Variances), by any other orders entered by the Bankruptcy Court (subject to the Approved Budget and Permitted Variances), or in amounts consistent with the Approved Budget (subject to Permitted Variances);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Loan Party is enjoined, restrained or in any way prevented by an order of a court of competent jurisdiction (other than an order of the Bankruptcy Court approved by the Required Lenders) from continuing to conduct all or any material part of its business or affairs for a period exceeding five (5) consecutive Business Days;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Parties file or support any motion, pleading, application or adversary proceeding (a) challenging the validity, enforceability, perfection or priority of, or seeking to avoid and recover, the Liens securing the Prepetition Secured Obligations or (b) seeking disallowance, in full or in part, of the claims of the members of the Ad Hoc Group on account of the Prepetition Notes held by the DIP Lenders;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9" w:name="page70"/>
    <w:bookmarkEnd w:id="69"/>
    <w:p>
      <w:pPr>
        <w:jc w:val="both"/>
        <w:ind w:firstLine="1304"/>
        <w:spacing w:after="0" w:line="267" w:lineRule="auto"/>
        <w:tabs>
          <w:tab w:leader="none" w:pos="1541"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of the terms of the Governance Agreement by any party other than the Ad Hoc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Loan Parties are actively seeking to enforce the terms of the Governance Agreement with respect to a breach by a party other than the Ad Hoc Group or any Debtor, then there shall not be a Default or Event of Default under this Section 6(z); or</w:t>
      </w:r>
    </w:p>
    <w:p>
      <w:pPr>
        <w:spacing w:after="0" w:line="175" w:lineRule="exact"/>
        <w:rPr>
          <w:sz w:val="20"/>
          <w:szCs w:val="20"/>
          <w:color w:val="auto"/>
        </w:rPr>
      </w:pPr>
    </w:p>
    <w:p>
      <w:pPr>
        <w:jc w:val="both"/>
        <w:ind w:firstLine="1304"/>
        <w:spacing w:after="0" w:line="266" w:lineRule="auto"/>
        <w:tabs>
          <w:tab w:leader="none" w:pos="16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Resid Issuer (as defined in the DIP Order) requires, directs, or otherwise causes any cash constituting Management Fees to be withheld, redirected, or removed from the working capital of any of the Debtors without the prior written consent of the DIP Agent (at the written direction of the Required Lenders).</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Upon the occurrence and continuance of any Event of Default, the DIP Agent (at the written direction of the Required Lenders) may (notwithstanding the provisions of section 362 of the Bankruptcy Code and without application or motion to, or order from, the Bankruptcy Court), subject to the terms, conditions and provisions of the DIP Order (including the Remedies Notice Period (as defined therein)), by notice to the Borrowers, declare the Commitment to be terminated forthwith, whereupon the Commitment shall immediately terminate, and/or, by notice to the Borrowers, declare the DIP Loans hereunder, with accrued interest thereon, and all other Obligations owed under this Agreement and the other DIP Loan Documents to be due and payable forthwith, whereupon the same shall immediately become due and payable. Except as expressly provided above in this Section 6, presentment, demand, protest and all other notices of any kind are hereby expressly waived.</w:t>
      </w:r>
    </w:p>
    <w:p>
      <w:pPr>
        <w:spacing w:after="0" w:line="189"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Further upon the occurrence and during the continuance of any Event of Default and subject to the terms of the DIP Order (including the Remedies Notice Period (as defined therein)), the DIP Agent (at the written direction of the Required Lenders), may (i) exercise all of its rights and remedies set forth in any of the DIP Loan Documents and the DIP Order, in addition to all rights and remedies allowed under any applicable law, including the UCC, and (ii) revoke the rights of the Borrowers and the other Loan Parties to use Cash Collateral. The enumeration of the foregoing rights and remedies is not intended to be exhaustive and the exercise of any right or remedy shall not preclude the exercise of any other rights or remedies, all of which shall be cumulative and not alternative.</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DIP Order (if applicable) (including, without limitation, the Carve-Out ranking senior thereto), after the exercise of remedies provided for in this Agreement and the other DIP Loan Documents with respect to the FBG DIP Obligations (or after the DIP Loans provided by the FBG DIP Lenders have automatically become immediately due and payable), including in any bankruptcy or insolvency proceeding, any amounts received on account of the FBG DIP Obligations (including from the realization, collection or enforcement of the FBG DIP Collateral) shall be applied by the DIP Agent to the FBG DIP Obligations, in the following order:</w:t>
      </w:r>
    </w:p>
    <w:p>
      <w:pPr>
        <w:spacing w:after="0" w:line="181" w:lineRule="exact"/>
        <w:rPr>
          <w:sz w:val="20"/>
          <w:szCs w:val="20"/>
          <w:color w:val="auto"/>
        </w:rPr>
      </w:pPr>
    </w:p>
    <w:p>
      <w:pPr>
        <w:jc w:val="both"/>
        <w:ind w:firstLine="1304"/>
        <w:spacing w:after="0" w:line="267" w:lineRule="auto"/>
        <w:tabs>
          <w:tab w:leader="none" w:pos="1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first</w:t>
      </w:r>
      <w:r>
        <w:rPr>
          <w:rFonts w:ascii="Times New Roman" w:cs="Times New Roman" w:eastAsia="Times New Roman" w:hAnsi="Times New Roman"/>
          <w:sz w:val="18"/>
          <w:szCs w:val="18"/>
          <w:color w:val="auto"/>
        </w:rPr>
        <w:t>, to payment or reimbursement of all fees, expenses, indemnities, costs, losses and other amounts and obligations payable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DIP Agent under the DIP Loan Documents, solely to the extent attributable to or arising in connection with the FBG DIP Facility, the FBG DIP Loan Parties or the FBG DIP Collateral;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0" w:name="page71"/>
    <w:bookmarkEnd w:id="70"/>
    <w:p>
      <w:pPr>
        <w:jc w:val="both"/>
        <w:ind w:firstLine="1304"/>
        <w:spacing w:after="0" w:line="261" w:lineRule="auto"/>
        <w:tabs>
          <w:tab w:leader="none" w:pos="155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payment of that portion of the FBG DIP Obligations constituting fees, indemnities, expenses and other amounts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and interest) payable to the FBG DIP Lenders under the DIP Loan Documents, including attorneys’ fees and expenses and the fees and expenses of the Specified Financial Advisor, in each case ratably among the FBG DIP Lenders in proportion to the respective amounts described in this clause (b) payable to them;</w:t>
      </w:r>
    </w:p>
    <w:p>
      <w:pPr>
        <w:spacing w:after="0" w:line="179" w:lineRule="exact"/>
        <w:rPr>
          <w:rFonts w:ascii="Times New Roman" w:cs="Times New Roman" w:eastAsia="Times New Roman" w:hAnsi="Times New Roman"/>
          <w:sz w:val="18"/>
          <w:szCs w:val="18"/>
          <w:color w:val="auto"/>
        </w:rPr>
      </w:pPr>
    </w:p>
    <w:p>
      <w:pPr>
        <w:ind w:right="20" w:firstLine="1304"/>
        <w:spacing w:after="0" w:line="284" w:lineRule="auto"/>
        <w:tabs>
          <w:tab w:leader="none" w:pos="1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payment of that portion of the FBG DIP Obligations constituting accrued and unpaid interest on the DIP Loans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FBG DIP Lenders, ratably among the FBG DIP Lenders in proportion to the respective amounts described in this clause (c) payable to them;</w:t>
      </w:r>
    </w:p>
    <w:p>
      <w:pPr>
        <w:spacing w:after="0" w:line="158" w:lineRule="exact"/>
        <w:rPr>
          <w:rFonts w:ascii="Times New Roman" w:cs="Times New Roman" w:eastAsia="Times New Roman" w:hAnsi="Times New Roman"/>
          <w:sz w:val="18"/>
          <w:szCs w:val="18"/>
          <w:color w:val="auto"/>
        </w:rPr>
      </w:pPr>
    </w:p>
    <w:p>
      <w:pPr>
        <w:ind w:firstLine="1304"/>
        <w:spacing w:after="0" w:line="284" w:lineRule="auto"/>
        <w:tabs>
          <w:tab w:leader="none" w:pos="155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payment of that portion of the FBG DIP Obligations constituting unpaid principal of the DIP Loans provided by the FBG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DIP Lenders, applied in the following order:</w:t>
      </w:r>
    </w:p>
    <w:p>
      <w:pPr>
        <w:spacing w:after="0" w:line="158" w:lineRule="exact"/>
        <w:rPr>
          <w:rFonts w:ascii="Times New Roman" w:cs="Times New Roman" w:eastAsia="Times New Roman" w:hAnsi="Times New Roman"/>
          <w:sz w:val="18"/>
          <w:szCs w:val="18"/>
          <w:color w:val="auto"/>
        </w:rPr>
      </w:pPr>
    </w:p>
    <w:p>
      <w:pPr>
        <w:ind w:left="1300" w:right="20" w:firstLine="652"/>
        <w:spacing w:after="0" w:line="284" w:lineRule="auto"/>
        <w:tabs>
          <w:tab w:leader="none" w:pos="216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repayment of the outstanding principal of the FBG New Money Term Loans, ratably among the FBG DIP Lenders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holding FBG New Money Term Loans in proportion to the respective amounts outstanding;</w:t>
      </w:r>
    </w:p>
    <w:p>
      <w:pPr>
        <w:spacing w:after="0" w:line="158"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213"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repayment of the outstanding principal of the Roll-Up Loans under the FBG Roll-Up Financing; provided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Roll-Up Loans shall only be repaid from amounts received from FBG DIP Loan Parties that were obligors under the FBG Prepetition Notes Documents and whose FBG Prepetition Secured Obligations (attributable to the FBG Class A-2 Prepetition Notes) were subject to the relevant FBG Roll-Up Financing, in each case ratably among the FBG DIP Lenders holding Roll-Up Loans under the FBG Roll-Up Financing in proportion to their respective principal amounts outstanding; and</w:t>
      </w:r>
    </w:p>
    <w:p>
      <w:pPr>
        <w:spacing w:after="0" w:line="183" w:lineRule="exact"/>
        <w:rPr>
          <w:rFonts w:ascii="Times New Roman" w:cs="Times New Roman" w:eastAsia="Times New Roman" w:hAnsi="Times New Roman"/>
          <w:sz w:val="18"/>
          <w:szCs w:val="18"/>
          <w:color w:val="auto"/>
        </w:rPr>
      </w:pPr>
    </w:p>
    <w:p>
      <w:pPr>
        <w:ind w:firstLine="1304"/>
        <w:spacing w:after="0" w:line="284" w:lineRule="auto"/>
        <w:tabs>
          <w:tab w:leader="none" w:pos="155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the balance, if any, after all of the FBG DIP Obligations have been indefeasibly paid in full and all FBG Commitments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terminated, to the Borrower or as otherwise required by applicable law.</w:t>
      </w:r>
    </w:p>
    <w:p>
      <w:pPr>
        <w:spacing w:after="0" w:line="16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For the avoidance of doubt, amounts received from or attributable to FBG DIP Collateral shall not be applied to satisfy any Twin DIP Obligations, and amounts applied pursuant to the foregoing shall not reduce or otherwise affect any Twin DIP Obligations outstanding under this Agreement.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DIP Order (if applicable) (including, without limitation, the Carve-Out ranking senior thereto), after the exercise of remedies provided for in this Agreement and the other DIP Loan Documents with respect to the Twin DIP Obligations (or after the DIP Loans provided by the Twin DIP Lenders have automatically become immediately due and payable), including in any bankruptcy or insolvency proceeding, any amounts received on account of the Twin DIP Obligations (including from the realization, collection or enforcement of the Twin DIP Collateral) shall be applied by the DIP Agent to the Twin DIP Obligations, in the following order:</w:t>
      </w:r>
    </w:p>
    <w:p>
      <w:pPr>
        <w:spacing w:after="0" w:line="181" w:lineRule="exact"/>
        <w:rPr>
          <w:sz w:val="20"/>
          <w:szCs w:val="20"/>
          <w:color w:val="auto"/>
        </w:rPr>
      </w:pPr>
    </w:p>
    <w:p>
      <w:pPr>
        <w:jc w:val="both"/>
        <w:ind w:firstLine="1304"/>
        <w:spacing w:after="0" w:line="267" w:lineRule="auto"/>
        <w:tabs>
          <w:tab w:leader="none" w:pos="1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payment or reimbursement of all fees, expenses, indemnities, costs, losses and other amounts and obligations payable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DIP Agent under the DIP Loan Documents, solely to the extent attributable to or arising in connection with the Twin DIP Facility, the Twin DIP Loan Parties or the Twin DIP Collateral;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1" w:name="page72"/>
    <w:bookmarkEnd w:id="71"/>
    <w:p>
      <w:pPr>
        <w:jc w:val="both"/>
        <w:ind w:firstLine="1304"/>
        <w:spacing w:after="0" w:line="261" w:lineRule="auto"/>
        <w:tabs>
          <w:tab w:leader="none" w:pos="155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payment of that portion of the Twin DIP Obligations constituting fees, indemnities, expenses and other amounts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and interest) payable to the Twin DIP Lenders under the DIP Loan Documents, including attorneys’ fees and expenses and the fees and expenses of the Specified Financial Advisor, in each case ratably among the Twin DIP Lenders in proportion to the respective amounts described in this clause (b) payable to them;</w:t>
      </w:r>
    </w:p>
    <w:p>
      <w:pPr>
        <w:spacing w:after="0" w:line="179" w:lineRule="exact"/>
        <w:rPr>
          <w:rFonts w:ascii="Times New Roman" w:cs="Times New Roman" w:eastAsia="Times New Roman" w:hAnsi="Times New Roman"/>
          <w:sz w:val="18"/>
          <w:szCs w:val="18"/>
          <w:color w:val="auto"/>
        </w:rPr>
      </w:pPr>
    </w:p>
    <w:p>
      <w:pPr>
        <w:ind w:firstLine="1304"/>
        <w:spacing w:after="0" w:line="284" w:lineRule="auto"/>
        <w:tabs>
          <w:tab w:leader="none" w:pos="1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payment of that portion of the Twin DIP Obligations constituting accrued and unpaid interest on the DIP Loans provided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Twin DIP Lenders, ratably among the Twin DIP Lenders in proportion to the respective amounts described in this clause (c) payable to them;</w:t>
      </w:r>
    </w:p>
    <w:p>
      <w:pPr>
        <w:spacing w:after="0" w:line="158" w:lineRule="exact"/>
        <w:rPr>
          <w:rFonts w:ascii="Times New Roman" w:cs="Times New Roman" w:eastAsia="Times New Roman" w:hAnsi="Times New Roman"/>
          <w:sz w:val="18"/>
          <w:szCs w:val="18"/>
          <w:color w:val="auto"/>
        </w:rPr>
      </w:pPr>
    </w:p>
    <w:p>
      <w:pPr>
        <w:ind w:firstLine="1304"/>
        <w:spacing w:after="0" w:line="284" w:lineRule="auto"/>
        <w:tabs>
          <w:tab w:leader="none" w:pos="155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payment of that portion of the Twin DIP Obligations constituting unpaid principal of the DIP Loans provided by the Twin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DIP Lenders, applied in the following order:</w:t>
      </w:r>
    </w:p>
    <w:p>
      <w:pPr>
        <w:spacing w:after="0" w:line="158" w:lineRule="exact"/>
        <w:rPr>
          <w:rFonts w:ascii="Times New Roman" w:cs="Times New Roman" w:eastAsia="Times New Roman" w:hAnsi="Times New Roman"/>
          <w:sz w:val="18"/>
          <w:szCs w:val="18"/>
          <w:color w:val="auto"/>
        </w:rPr>
      </w:pPr>
    </w:p>
    <w:p>
      <w:pPr>
        <w:ind w:left="1300" w:firstLine="652"/>
        <w:spacing w:after="0" w:line="284" w:lineRule="auto"/>
        <w:tabs>
          <w:tab w:leader="none" w:pos="227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repayment of the outstanding principal of the Twin New Money Term Loans, ratably among the Twin DIP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Lenders holding Twin New Money Term Loans in proportion to the respective principal amounts outstanding;</w:t>
      </w:r>
    </w:p>
    <w:p>
      <w:pPr>
        <w:spacing w:after="0" w:line="158" w:lineRule="exact"/>
        <w:rPr>
          <w:rFonts w:ascii="Times New Roman" w:cs="Times New Roman" w:eastAsia="Times New Roman" w:hAnsi="Times New Roman"/>
          <w:sz w:val="18"/>
          <w:szCs w:val="18"/>
          <w:color w:val="auto"/>
        </w:rPr>
      </w:pPr>
    </w:p>
    <w:p>
      <w:pPr>
        <w:jc w:val="both"/>
        <w:ind w:left="1300" w:firstLine="652"/>
        <w:spacing w:after="0" w:line="257" w:lineRule="auto"/>
        <w:tabs>
          <w:tab w:leader="none" w:pos="225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subject to the Twin Roll-Up Reservation, to the repayment of the outstanding principal of the Roll-Up Loans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Twin Senior Roll-Up Financing; provided that such Roll-Up Loans shall only be repaid from amounts received from Twin DIP Loan Parties that were obligors under the Twin Prepetition Notes Documents and whose Twin Class A-2 Prepetition Secured Obligations (attributable to the Twin Class A-2-I Notes) were subject to the relevant Twin Senior Roll-Up Financing, in each case ratably among the Twin DIP Lenders holding Roll-Up Loans under the Twin Senior Roll-Up Financing in proportion to their respective principal amounts outstanding;</w:t>
      </w:r>
    </w:p>
    <w:p>
      <w:pPr>
        <w:spacing w:after="0" w:line="182" w:lineRule="exact"/>
        <w:rPr>
          <w:rFonts w:ascii="Times New Roman" w:cs="Times New Roman" w:eastAsia="Times New Roman" w:hAnsi="Times New Roman"/>
          <w:sz w:val="18"/>
          <w:szCs w:val="18"/>
          <w:color w:val="auto"/>
        </w:rPr>
      </w:pPr>
    </w:p>
    <w:p>
      <w:pPr>
        <w:jc w:val="both"/>
        <w:ind w:left="1300" w:firstLine="652"/>
        <w:spacing w:after="0" w:line="257" w:lineRule="auto"/>
        <w:tabs>
          <w:tab w:leader="none" w:pos="2203"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subject to the Twin Roll-Up Reservation, to the repayment of the outstanding principal of the Roll-Up Loans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Twin Junior Roll-Up Financing; provided that such Roll-Up Loans shall only be repaid from amounts received from Loan Parties that were obligors under the Twin Prepetition Notes Documents and whose Twin Class A-2 Prepetition Secured Obligations (attributable to the Twin Class A-2-II Notes) were subject to the relevant Twin Junior Roll-Up Financing, in each case ratably among the Twin DIP Lenders holding Roll-Up Loans under the Twin Junior Roll-Up Financing in proportion to their respective principal amounts outstanding; and</w:t>
      </w:r>
    </w:p>
    <w:p>
      <w:pPr>
        <w:spacing w:after="0" w:line="182" w:lineRule="exact"/>
        <w:rPr>
          <w:sz w:val="20"/>
          <w:szCs w:val="20"/>
          <w:color w:val="auto"/>
        </w:rPr>
      </w:pPr>
    </w:p>
    <w:p>
      <w:pPr>
        <w:ind w:right="20" w:firstLine="1304"/>
        <w:spacing w:after="0" w:line="284" w:lineRule="auto"/>
        <w:tabs>
          <w:tab w:leader="none" w:pos="155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the balance, if any, after all of the Twin DIP Obligations have been indefeasibly paid in full and all Twin Commitments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terminated, to the Borrower or as otherwise required by applicable law.</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72" w:name="page73"/>
    <w:bookmarkEnd w:id="7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For the avoidance of doubt, amounts received from or attributable to Twin DIP Collateral shall not be applied to satisfy any FBG DIP Obligations, and amounts applied pursuant to foregoing shall not reduce or otherwise affect any FBG DIP Obligations outstanding under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Credit Bidding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DIP Lender shall have the right to Credit Bid and purchase all or any portion of the DIP Collateral at any sale thereof conducted by DIP Agent under the provisions of the UCC, including pursuant to sections 9-610 or 9-620 of the UCC, at any sale thereof conducted under the provisions of the Bankruptcy Code, including section 363 thereof, or a sale under a plan of reorganization, or at any other sale or foreclosure conducted by a DIP Agent (whether by judicial action or otherwise) in accordance with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2" w:lineRule="auto"/>
        <w:tabs>
          <w:tab w:leader="none" w:pos="89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 and Expenses</w:t>
      </w:r>
      <w:r>
        <w:rPr>
          <w:rFonts w:ascii="Times New Roman" w:cs="Times New Roman" w:eastAsia="Times New Roman" w:hAnsi="Times New Roman"/>
          <w:sz w:val="18"/>
          <w:szCs w:val="18"/>
          <w:color w:val="auto"/>
        </w:rPr>
        <w:t>. Subject to the procedures in the DIP Order, whether or not the transactions contemplated hereby shall be consummated, the Borrowers shall reimburse the Secured Parties for (i) all reasonable and documented out-of-pocket costs and expenses in connection with the preparation of the DIP Loan Documents, the Interim DIP Order, the Final DIP Order and any consents, amendments, waivers or other modifications thereto and in connection with the execution, delivery, consummation and administration of the transactions contemplated hereby (including the out of pocket expenses incurred in obtaining and maintaining the Platform) and thereby, and enforcement of rights and remedies hereto and thereto and in connection with the Chapter 11 Cases; (ii) the reasonable and documented out-of-pocket fees, expenses and disbursements of counsel to the DIP Agent and the Specified Financial Advisor in connection with the negotiation, preparation, execution and administration of the DIP Loan Documents and any consents, amendments, waivers or other modifications thereto and any other documents or matters requested by the Borrowers and in connection with the consummation and administration of the transactions contemplated hereby and thereby and enforcement of rights and remedies hereto and thereto and in connection with the Chapter 11 Cases; (iii) all the reasonable and documented out-of-pocket costs and expenses in connection with the custody or preservation of any of the DIP Collateral; and (iv) all reasonable and documented out-of-pocket costs and expenses, including reasonable attorneys’ fees and expenses, the fees and expenses of the Specified Financial Advisor and costs of settlement, incurred by the DIP Agent in enforcing any Obligations of or in collecting any payments due from the Borrowers or the other Loan Parties hereunder or under the other DIP Loan Documents (including in connection with the sale of, collection from, or other realization upon any of the DIP Collateral) or in connection with any refinancing or restructuring of the credit arrangements provided under this Agreement in the nature of a “work-out” or pursuant to the Chapter 11 Cases, or any other insolvency proceedings or any attempt to enforce any rights or remedies of the DIP Agent against the Borrowers or any other Person that may be obligated thereto by virtue of being a party to any of the DIP Loan Documents, in each case, without the need to file any applications with the Bankruptcy Court but subject to the limitations set forth in the DIP Order.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3" w:name="page74"/>
    <w:bookmarkEnd w:id="73"/>
    <w:p>
      <w:pPr>
        <w:jc w:val="both"/>
        <w:ind w:firstLine="656"/>
        <w:spacing w:after="0" w:line="252" w:lineRule="auto"/>
        <w:tabs>
          <w:tab w:leader="none" w:pos="9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Whether or not the transactions contemplated hereby shall be consummated, the Borrowers agree, jointly and severally with the other Loan Parties, to indemnify, pay and hold the DIP Agent, and its Related Parties and Representatives (each,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harmless from and against any and all claims, liabilities, losses, damages, costs and expenses (whether or not any of the foregoing Persons is a party to any litigation), including, without limitation, reasonable attorneys’ and financial advisors’ fees and costs (including, without limitation, the reasonable estimate of the allocated cost of in-house legal counsel and staff) and costs of investigation, document production, attendance at a deposition, or other discovery, with respect to or arising out of the preparation, negotiation, executive, delivery, administration or enforcement of this Agreement or the other DIP Loan Documents (including, without limitation, any obligation of the DIP Agent to indemnify or reimburse a bank, securities intermediary or financial institution under any Segregated Account Control Agreement or other account control agreement entered into by the DIP Agent under the DIP Loan Documents) or any other agreement or instrument contemplated hereby, or the DIP Loans or any use of proceeds therefrom or the Chapter 11 Cases or any transactions contemplated hereby or thereby, or any claim, demand, action or cause of action being asserted against the Borrowers or any other Loan Party or any other transactions contemplated hereby and thereby (collectively, the “</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Borrowers shall have no obligation hereunder with respect to Indemnified Liabilities with respect to a particular Indemnified Person arising from the bad faith, gross negligence or willful misconduct of any such Indemnified Person, as determined by a court of competent jurisdiction in a final, non-appealable judgment and (ii) in no event will any Taxes constitute Indemnified Liabilities (other than Taxes that represent losses, claims, damages, liabilities or related expenses arising from any non-Tax claim). This covenant shall survive termination of this Agreement, the resignation or removal of the DIP Agent and payment of the outstanding DIP Loans.</w:t>
      </w:r>
    </w:p>
    <w:p>
      <w:pPr>
        <w:spacing w:after="0" w:line="194"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2" w:lineRule="auto"/>
        <w:tabs>
          <w:tab w:leader="none" w:pos="217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or on account of any obligation of the Borrowers or any other Loan Party hereunder or under any other related DIP Loan Documents shall be made free and clear of and without deduction or withholding for or on account of any present or future taxes, levies, imposts, duties, charges, assessments, fees, deductions or withholdings of any kind or nature whatsoever or any interest, additions to tax or penalties payable with respect thereto now or in the future imposed, levied, collected, withheld or assessed by any Governmental Authority (collectively,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as required by applicable law. If any Taxes are required by applicable law to be withheld (as determined in good faith by an applicable withholding agent)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from any such payment by a withholding agent, then the applicable withholding agent shall be entitled to make such withholding and shall timely pay the full amount withheld to the relevant Governmental Authority in accordance with applicable law and the sum payable hereunder shall be increased as necessary so that after such withholding has been made (including such withholdings applicable to additional sums payable under this Section 8(c)) the applicable recipient receives an amount equal to the sum it would have received had no such withholding been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additional amounts shall be payable to a recipient pursuant to the preceding sentence in respect of any (1) income Taxes or franchise, branch profits or similar Taxes (imposed in lieu of income Taxes), in each case, (i) imposed on the recipient as a result of its present or former connection to the applicable taxing jurisdiction (other than such recipient’s connections with such taxing jurisdiction arising from, out of or with respect to any DIP Loan Documents or any transactions therein), or (ii) imposed as a result of such recipient being organized under the laws of, or having its principal office or, in the case of any lender, its applicable lending office located in, the jurisdiction imposing such Tax (or any political subdivision thereof), (2) Withholding Taxes imposed on amounts payable pursuant to law in effect on the date such recipient becomes a party to this Agreement, (3) Taxes resulting from such recipient’s failure to provide the documentation pursuant to Section 8(c)(ii) or (iii), and (4) Taxes imposed pursuant to Sections 1471 through 1474 of the Code or any Treasury Regulations, other rules, regulations, official administrative guidance or intergovernmental agreements implementing such Sections, in each case as of the date of this Agreement (or any amended or successor version that is substantively comparable and not materially more onerous to comply with) (“</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(any such Taxes described in this proviso, “</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4" w:name="page75"/>
    <w:bookmarkEnd w:id="74"/>
    <w:p>
      <w:pPr>
        <w:jc w:val="both"/>
        <w:ind w:left="180" w:firstLine="652"/>
        <w:spacing w:after="0" w:line="253" w:lineRule="auto"/>
        <w:tabs>
          <w:tab w:leader="none" w:pos="109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on which a DIP Lender becomes a DIP Lender under this Agreement and from time to time thereafter upon the reasonable request of the Borrowers or the DIP Agent, such DIP Lender shall provide the Borrowers and the DIP Agent with (1) if the DIP Lender is a “United States Person” as defined in Section 7701(a)(30) of the Code, executed copies of IRS Form W-9 certifying that such DIP Lender is exempt from U.S. federal backup withholding tax; (2) if the DIP Lender is not “United States Person” as defined in Section 7701(a)(30) of the Code, to the extent it is legally eligible to do so, executed copies of whichever of the following the DIP Lender is legally eligible to deliver: (A) IRS Form W-8BEN or IRS Form W-8BEN-E establishing an exemption from, or reduction of, U.S. federal withholding Tax pursuant to the “interest”, “business profits” or “other income” article of an applicable income tax treaty;</w:t>
      </w:r>
    </w:p>
    <w:p>
      <w:pPr>
        <w:spacing w:after="0" w:line="2" w:lineRule="exact"/>
        <w:rPr>
          <w:rFonts w:ascii="Times New Roman" w:cs="Times New Roman" w:eastAsia="Times New Roman" w:hAnsi="Times New Roman"/>
          <w:sz w:val="18"/>
          <w:szCs w:val="18"/>
          <w:color w:val="auto"/>
        </w:rPr>
      </w:pPr>
    </w:p>
    <w:p>
      <w:pPr>
        <w:jc w:val="both"/>
        <w:ind w:left="180" w:firstLine="4"/>
        <w:spacing w:after="0" w:line="250" w:lineRule="auto"/>
        <w:tabs>
          <w:tab w:leader="none" w:pos="4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Form W-8ECI or IRS Form W-8EXP; (C) in the event the DIP Lender is claiming the benefits of the exemption for portfolio interest under Section 881(c) of the Code, a certificate to the effect that such DIP Lender is not a “bank” within the meaning of Section 881(c)(3)(A) of the Code, a “10 percent shareholder” of any Borrower within the meaning of Section 871(h)(3)(B) of the Code, or a “controlled foreign corporation” related to any Borrower described in Section 881(c)(3)(C) of the Code, together with IRS Form W-8BEN or IRS Form W-8BEN-E; (D) to the extent the DIP Lender is not the beneficial owner, IRS Form W-8IMY, accompanied by IRS Form W-8ECI, IRS Form W-8EXP, IRS Form W-8BEN, IRS Form W-8BEN-E, a certificate described in the foregoing clause (C), IRS Form W-9, and/or other certification documents from each beneficial owner, as applicable; or (E) any other form prescribed by applicable law as a basis for claiming exemption from or a reduction in U.S. federal withholding Tax, duly completed, together with such supplementary documentation as may be prescribed by applicable law to permit the Borrowers and the DIP Agent to determine the withholding or deduction required to be made to the extent, in the DIP Lender’s reasonable judgment, the completion, execution or submission of such form would not subject such Lender to any material unreimbursed cost or expense or would materially prejudice the legal or commercial position of such DIP Lender; and (3) if a payment made to a DIP Lender under any this Agreement would be subject to U.S. federal withholding Tax imposed by FATCA if such DIP Lender were to fail to comply with the applicable reporting requirements of FATCA (including those contained in Section 1471(b) or 1472(b) of the Code, as applicable), such Lender shall deliver to the Borrowers and the DIP Agent at the time or times prescribed by law and at such time or times reasonably requested by the Borrowers or the DIP Agent such documentation prescribed by applicable law (including as prescribed by Section 1471(b)(3)(C)(i) of the Code) and such additional documentation reasonably requested by the Borrowers or the DIP Agent as may be necessary for the Borrowers and the DIP Agent to comply with their obligations under FATCA and to determine that such Lender has complied with such Lender’s obligations under FATCA or to determine the amount, if any, to deduct and withhold from such payment (provided, that solely for purposes of this clause (3), “FATCA” shall include any amendments made to FATCA after the date of this Agreement). Each DIP Lender agrees that if any form or certification it previously delivered expires or becomes obsolete or inaccurate in any respect, it shall update such form or certification or promptly notify the Borrowers and the DIP Agent in writing of its legal ineligibility to do so.</w:t>
      </w:r>
    </w:p>
    <w:p>
      <w:pPr>
        <w:spacing w:after="0" w:line="20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5" w:name="page76"/>
    <w:bookmarkEnd w:id="75"/>
    <w:p>
      <w:pPr>
        <w:jc w:val="both"/>
        <w:ind w:left="180" w:firstLine="652"/>
        <w:spacing w:after="0" w:line="258" w:lineRule="auto"/>
        <w:tabs>
          <w:tab w:leader="none" w:pos="11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date the DIP Agent (including for this purpose any successor, supplemental or sub-agent) becomes a party to this Agreement, the DIP Agent shall provide to the Borrowers executed copies of IRS Form W-9 certifying that it is exempt from U.S. federal backup withholding tax. At any time thereafter, the DIP Agent shall provide updated documentation previously provided (or a successor form thereto) when any documentation previously delivered has expired or become obsolete or invalid or otherwise upon the reasonable request of the Borrowers.</w:t>
      </w:r>
    </w:p>
    <w:p>
      <w:pPr>
        <w:spacing w:after="0" w:line="183" w:lineRule="exact"/>
        <w:rPr>
          <w:rFonts w:ascii="Times New Roman" w:cs="Times New Roman" w:eastAsia="Times New Roman" w:hAnsi="Times New Roman"/>
          <w:sz w:val="18"/>
          <w:szCs w:val="18"/>
          <w:color w:val="auto"/>
        </w:rPr>
      </w:pPr>
    </w:p>
    <w:p>
      <w:pPr>
        <w:ind w:left="180" w:firstLine="652"/>
        <w:spacing w:after="0" w:line="282" w:lineRule="auto"/>
        <w:tabs>
          <w:tab w:leader="none" w:pos="113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timely pay to the relevant Governmental Authority in accordance with applicable law, or at the option of the DIP Agent timely reimburse it for the payment of, any Other Taxes.</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10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indemnify each Recipient, within 10 days after demand therefor, for the full amount of any Taxes (including Taxes imposed or asserted on or attributable to amounts payable under this Section 8(c)), other than Excluded Taxes, payable or paid by such Recipient or required to be withheld or deducted from a payment to such Recipient and any reasonable expenses arising therefrom or with respect thereto, whether or not such Taxes were correctly or legally imposed or asserted by the relevant Governmental Authority. A certificate as to the amount of such payment or liability delivered to a Borrower by a DIP Lender (with a copy to the DIP Agent), or by the DIP Agent on its own behalf or on behalf of a DIP Lender, shall be conclusive absent manifest error.</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4" w:lineRule="auto"/>
        <w:tabs>
          <w:tab w:leader="none" w:pos="113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DIP Lender shall severally indemnify the DIP Agent, within ten (10) days after demand therefor, for (i) any Taxes that are not Excluded Taxes and attributable to such DIP Lender (but only to the extent that the Borrowers have not already indemnified the DIP Agent for such Taxes and without limiting the obligation of the Borrowers to do so), (ii) any Taxes attributable to such DIP Lender’s failure to comply with Section 8(d)(iii) relating to the maintenance of a Participant Register and (iii) any Excluded Taxes attributable to such DIP Lender, in each case, that are payable or paid by the DIP Agent in connection with any DIP Loan Document, and any reasonable expenses arising therefrom or with respect thereto, whether or not such Taxes were correctly or legally imposed or asserted by the relevant Governmental Authority. A certificate as to the amount of such payment or liability delivered to any DIP Lender by the DIP Agent shall be conclusive absent manifest error.</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6" w:name="page77"/>
    <w:bookmarkEnd w:id="76"/>
    <w:p>
      <w:pPr>
        <w:jc w:val="both"/>
        <w:ind w:left="644" w:firstLine="652"/>
        <w:spacing w:after="0" w:line="266" w:lineRule="auto"/>
        <w:tabs>
          <w:tab w:leader="none" w:pos="1675"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8(c) shall survive the resignation or replacement of the DIP Agent or any assignment of rights by, or the replacement of, a DIP Lender, the termination of the Commitments and the repayment, satisfaction or discharge of all obligations under any DIP Loan Document.</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 Assignments and Participations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54" w:lineRule="auto"/>
        <w:tabs>
          <w:tab w:leader="none" w:pos="153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DIP Agent, acting solely for this purpose as a non-fiduciary agent of the Borrowers, shall maintain at its address a register for the recordation of the names and addresses of each DIP Lender and the outstanding principal, stated interest, and any other amounts due hereunder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conclusive absent manifest error, and each Borrower, the DIP Agent and DIP Lender may treat each Person whose name is recorded in the Register as the owner of the DIP Loans and other amounts hereunder for all purposes of this Agreement. The Register shall be available for inspection by the Borrowers and any DIP Lender, at any reasonable time and from time to time upon reasonable prior notice. No transfer of an interest in any DIP Loan shall be effective unless and until such transfer is recorded in the Register. The DIP Agent may after the syndication of the DIP Facilities pursuant to the Syndication Procedures update the Register.</w:t>
      </w:r>
    </w:p>
    <w:p>
      <w:pPr>
        <w:spacing w:after="0" w:line="191" w:lineRule="exact"/>
        <w:rPr>
          <w:rFonts w:ascii="Times New Roman" w:cs="Times New Roman" w:eastAsia="Times New Roman" w:hAnsi="Times New Roman"/>
          <w:sz w:val="18"/>
          <w:szCs w:val="18"/>
          <w:color w:val="auto"/>
        </w:rPr>
      </w:pPr>
    </w:p>
    <w:p>
      <w:pPr>
        <w:ind w:left="1564" w:hanging="268"/>
        <w:spacing w:after="0"/>
        <w:tabs>
          <w:tab w:leader="none" w:pos="156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firstLine="1300"/>
        <w:spacing w:after="0" w:line="261" w:lineRule="auto"/>
        <w:tabs>
          <w:tab w:leader="none" w:pos="225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Agreement shall be binding upon and inure to the benefit of the parties hereto and their respective successors and assigns permitted hereby, except that neither the Borrowers nor any other Loan Party may assign or otherwise transfer any of its rights, obligations or interest hereunder or under any other DIP Loan Document without the prior written consent of each DIP Lender (and any attempted assignment or transfer without such consent shall be null and void).</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77" w:name="page78"/>
    <w:bookmarkEnd w:id="77"/>
    <w:p>
      <w:pPr>
        <w:jc w:val="both"/>
        <w:ind w:left="180" w:firstLine="1300"/>
        <w:spacing w:after="0" w:line="25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DIP Lenders may, at any time, sell, assign, transfer, negotiate or grant participations to other financial institutions in all or part of the Commitments, DIP Loans or other obligations of the Borrowers outstanding under the DIP Loan Documents without the consent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any such sale, assignment, transfer, negotiation or participation shall be in compliance with the applicable federal and state securities laws and recorded in the Register and in accordance with the Syndication Procedures; (B) each DIP Lender and any assignee or transferee agrees (I) to be bound by the terms and conditions of this Agreement (including this Section 8(d)) and (II) that the risk of any Successful Challenge and of the outcome of the Twin Roll-Up Reservation (each as defined in the DIP Order) with respect to any Roll-Up Loans shall be borne exclusively by any DIP Lender then holding the relevant Roll-Up Loans, and no transferee or assignee shall have any claim against the applicable transferor or assignor in connection with any economic loss arising from or relating to such Successful Challenge or outcome of the Twin Roll-Up Reservation with respect to the Roll-Up Loans transferred or assigned to it; and (C) in the event of any Successful Challenge invalidating or rendering unenforceable all or any portion of the Roll-Up Loans, each DIP Lender who is then a holder of the relevant Roll-Up Loans subject of such Successful Challenge (whether as original holder thereof or as a transferee or assignee thereof) shall bear the risk of and be entitled to the benefit of any recharacterization of such Roll-Up Loans as Prepetition Class A-2 Notes in an amount and type corresponding to the amount and type of Prepetition Class A-2 Notes previously exchanged for the Roll-Up Loans then held by such DIP Lender (whether or not such DIP Lender was the holder of such Roll-Up Loans when made) or such other consequences as the Bankruptcy Court may order in connection with such Successful Challenge. No DIP Lender shall sell, assign or transfer all or part of the Commitments, DIP Loans or other obligations of the Borrowers outstanding under the DIP Loan Documents prior to the consummation of the assignments to be made under the Master Assignment and Assumption to be executed on the Reallocation Date (each as defined in the Syndication Procedures) (or, if applicable, the earlier termination of the Syndication Procedures in accordance with their terms) (the “</w:t>
      </w:r>
      <w:r>
        <w:rPr>
          <w:rFonts w:ascii="Times New Roman" w:cs="Times New Roman" w:eastAsia="Times New Roman" w:hAnsi="Times New Roman"/>
          <w:sz w:val="18"/>
          <w:szCs w:val="18"/>
          <w:u w:val="single" w:color="auto"/>
          <w:color w:val="auto"/>
        </w:rPr>
        <w:t>Syndication Completion</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jc w:val="both"/>
        <w:ind w:left="180" w:firstLine="1300"/>
        <w:spacing w:after="0" w:line="254" w:lineRule="auto"/>
        <w:tabs>
          <w:tab w:leader="none" w:pos="176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DIP Lenders may, in connection with any actual or proposed assignment or participation, disclose to the actual or proposed assignee or participant, any information relating to the Loan Parties or any of their respective Subsidiaries. Assignments shall be subject to the following additional conditions: (i) the parties to each assignment shall execute and deliver to the DIP Agent and to the Specified Financial Advisor an instrument of assignment and acceptance substantially in the form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Assignment and Acceptance</w:t>
      </w:r>
      <w:r>
        <w:rPr>
          <w:rFonts w:ascii="Times New Roman" w:cs="Times New Roman" w:eastAsia="Times New Roman" w:hAnsi="Times New Roman"/>
          <w:sz w:val="18"/>
          <w:szCs w:val="18"/>
          <w:color w:val="auto"/>
        </w:rPr>
        <w:t>”), together with a processing and recordation fee of US$3,500 for the account of the DIP Agent unless such fee is waived by the DIP Agent in its sole discretion, (ii) the assignee, if it was not a DIP Lender immediately prior to such assignment, shall deliver to the DIP Agent (A) an Administrative Questionnaire, and (B) any other documents reasonably required by the DIP Agent or the Required Lenders, and (C) any information reasonably required by such DIP Agent in connection with its “know your customer” process (including, without limitation, the assignee’s tax documentation as required pursuant to Section 8(c)(ii)).</w:t>
      </w:r>
    </w:p>
    <w:p>
      <w:pPr>
        <w:spacing w:after="0" w:line="188"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177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DIP Lender which is a member of the Ad Hoc Group agrees, on and subject to the terms and conditions of the Syndication Procedures, to execute the Master Assignment and Assumption pursuant to which it will sell, assign and/or transfer, as applicable, a portion of the DIP Loans and Commitments held by it on the Reallocation Date in accordance with the Syndication Procedures.</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8" w:name="page79"/>
    <w:bookmarkEnd w:id="78"/>
    <w:p>
      <w:pPr>
        <w:jc w:val="both"/>
        <w:ind w:left="180" w:firstLine="1300"/>
        <w:spacing w:after="0" w:line="266" w:lineRule="auto"/>
        <w:tabs>
          <w:tab w:leader="none" w:pos="1758"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Closing Date until the Syndication Completion, each DIP Lender agrees not to (and to cause its Affiliates and its and its Affiliates’ funds or accounts over which it has investment authority, voting discretion or control not to) sell, transfer, or assign in whole or in part, its right, title or interest in or to any Prepetition Notes.</w:t>
      </w:r>
    </w:p>
    <w:p>
      <w:pPr>
        <w:spacing w:after="0" w:line="175" w:lineRule="exact"/>
        <w:rPr>
          <w:rFonts w:ascii="Times New Roman" w:cs="Times New Roman" w:eastAsia="Times New Roman" w:hAnsi="Times New Roman"/>
          <w:sz w:val="18"/>
          <w:szCs w:val="18"/>
          <w:color w:val="auto"/>
        </w:rPr>
      </w:pPr>
    </w:p>
    <w:p>
      <w:pPr>
        <w:jc w:val="both"/>
        <w:ind w:left="180" w:firstLine="1300"/>
        <w:spacing w:after="0" w:line="254" w:lineRule="auto"/>
        <w:tabs>
          <w:tab w:leader="none" w:pos="175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Syndication Completion until the earlier of (I) the Challenge Period Termination Date if no Challenge (each as defined in the DIP Order) has been asserted or (II) the entry of a final non-appealable order of a court of competent jurisdiction resolving any Challenge, each DIP Lender agrees (x) not to (and to cause its Affiliates and its and its Affiliates’ funds or accounts over which it has investment authority, voting discretion or control not to) sell, transfer or assign its right, title or interest in or to any Prepetition Notes that became Roll-Up Loans in accordance with any Roll-Up Financing and (y) prior to or contemporaneously with any sale, transfer or assignment of Prepetition Notes, to provide written notice of such sale, transfer or assignment (including the amount and type of Prepetition Notes sold, transferred or assigned) to the Borrowers and the Specified Financial Advisor, in accordance with Section 8(o); provided, the DIP Agent shall not have any duty, liability or obligation with respect to any sale, transfer or assignment of any Prepetition Notes or to monitor the same.</w:t>
      </w:r>
    </w:p>
    <w:p>
      <w:pPr>
        <w:spacing w:after="0" w:line="188" w:lineRule="exact"/>
        <w:rPr>
          <w:rFonts w:ascii="Times New Roman" w:cs="Times New Roman" w:eastAsia="Times New Roman" w:hAnsi="Times New Roman"/>
          <w:sz w:val="18"/>
          <w:szCs w:val="18"/>
          <w:color w:val="auto"/>
        </w:rPr>
      </w:pPr>
    </w:p>
    <w:p>
      <w:pPr>
        <w:ind w:left="1780" w:hanging="300"/>
        <w:spacing w:after="0"/>
        <w:tabs>
          <w:tab w:leader="none" w:pos="178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DIP Loans, Commitments or Prepetition Notes in violation of this Section 8(d)(ii) shall be void ab</w:t>
      </w:r>
    </w:p>
    <w:p>
      <w:pPr>
        <w:spacing w:after="0" w:line="27" w:lineRule="exact"/>
        <w:rPr>
          <w:rFonts w:ascii="Times New Roman" w:cs="Times New Roman" w:eastAsia="Times New Roman" w:hAnsi="Times New Roman"/>
          <w:sz w:val="18"/>
          <w:szCs w:val="18"/>
          <w:color w:val="auto"/>
        </w:rPr>
      </w:pPr>
    </w:p>
    <w:p>
      <w:pPr>
        <w:ind w:left="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initio.</w:t>
      </w:r>
    </w:p>
    <w:p>
      <w:pPr>
        <w:spacing w:after="0" w:line="206"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4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Each DIP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DIP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provided that no DIP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U.S. Treasury Regulations or Section 1.163-5(b) of the U.S. Proposed Treasury Regulations. The entries in the Participant Register shall be conclusive absent manifest error, and such DIP Lender shall treat each Person whose name is recorded in the Participant Register as the owner of such participation for all purposes of this Agreement notwithstanding any notice to the contrary. For the avoidance of doubt, the DIP Agent (in its capacity as DIP Agent) shall have no responsibility for maintaining a Participant Register.</w:t>
      </w:r>
    </w:p>
    <w:p>
      <w:pPr>
        <w:spacing w:after="0" w:line="1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79" w:name="page80"/>
    <w:bookmarkEnd w:id="79"/>
    <w:p>
      <w:pPr>
        <w:jc w:val="both"/>
        <w:ind w:left="644" w:firstLine="652"/>
        <w:spacing w:after="0" w:line="254" w:lineRule="auto"/>
        <w:tabs>
          <w:tab w:leader="none" w:pos="159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Roll-Up Loans</w:t>
      </w:r>
      <w:r>
        <w:rPr>
          <w:rFonts w:ascii="Times New Roman" w:cs="Times New Roman" w:eastAsia="Times New Roman" w:hAnsi="Times New Roman"/>
          <w:sz w:val="18"/>
          <w:szCs w:val="18"/>
          <w:color w:val="auto"/>
        </w:rPr>
        <w:t>: Notwithstanding anything to the contrary in this Agreement, if and to the extent that a DIP Lender does not hold, at any Roll-Up Effective Time corresponding to any Borrowing, an amount and type of Prepetition Class A-2 Notes (excluding any Prepetition Class A-2 Notes previously deemed rolled up in connection with any previous Borrowing) which is equal to or greater than the amount and type of Roll-Up Loans associated with the New Money DIP Loans made by such DIP Lender in connection with such Borrowing, then the amount of Roll-Up Loans of the applicable type made by such DIP Lender in connection with such Borrowing shall automatically and immediately (without requirement for any further action by any party, by any court, or otherwise) be deemed to be reduced to an amount equal to the amount of the applicable type of Prepetition Class A-2 Notes then held by it (and such DIP Lender’s Roll-Up Loan Amount shall be automatically and immediately (without requirement for any further action by any party, by any court, or otherwise) deemed to be reduced pro tanto).</w:t>
      </w:r>
    </w:p>
    <w:p>
      <w:pPr>
        <w:spacing w:after="0" w:line="188"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54" w:lineRule="auto"/>
        <w:tabs>
          <w:tab w:leader="none" w:pos="150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Except as otherwise expressly provided in this Agreement, (A) any consent or approval required or permitted by this Agreement or any other DIP Loan Document to be given by the DIP Lenders may be given, (B) any term of this Agreement or of any other DIP Loan Document may be amended, (C) the performance or observance by the Borrower, any other Loan Party or any other Subsidiary of the Borrowers of any terms of this Agreement or such other DIP Loan Document may be waived, and (D) the continuance of any Default or Event of Default may be waived (either generally or in a particular instance and either retroactively or prospectively) with, but only with, the written consent of the Required Lenders or the DIP Agent at the written direction of the Required Lenders (other than with respect to any amendment, consent, approval or waiver that affects only the Twin DIP Loan Parties or that affects only the FBG DIP Loan Parties, which shall require the consent of the Required Twin Lenders or the Required FBG Lenders, as applicable (and not the Required Lenders)), and, in the case of an amendment to any DIP Loan Document, the written consent of each Loan Party party thereto.</w:t>
      </w:r>
    </w:p>
    <w:p>
      <w:pPr>
        <w:spacing w:after="0" w:line="188" w:lineRule="exact"/>
        <w:rPr>
          <w:rFonts w:ascii="Times New Roman" w:cs="Times New Roman" w:eastAsia="Times New Roman" w:hAnsi="Times New Roman"/>
          <w:sz w:val="18"/>
          <w:szCs w:val="18"/>
          <w:color w:val="auto"/>
        </w:rPr>
      </w:pPr>
    </w:p>
    <w:p>
      <w:pPr>
        <w:ind w:left="1564" w:hanging="268"/>
        <w:spacing w:after="0"/>
        <w:tabs>
          <w:tab w:leader="none" w:pos="1564"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of the DIP Lenders Directly Affected</w:t>
      </w:r>
      <w:r>
        <w:rPr>
          <w:rFonts w:ascii="Times New Roman" w:cs="Times New Roman" w:eastAsia="Times New Roman" w:hAnsi="Times New Roman"/>
          <w:sz w:val="18"/>
          <w:szCs w:val="18"/>
          <w:color w:val="auto"/>
        </w:rPr>
        <w:t>. In addition to the foregoing requirements, no amendment, waiver or consent</w:t>
      </w:r>
    </w:p>
    <w:p>
      <w:pPr>
        <w:spacing w:after="0" w:line="27"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w:t>
      </w:r>
    </w:p>
    <w:p>
      <w:pPr>
        <w:spacing w:after="0" w:line="206" w:lineRule="exact"/>
        <w:rPr>
          <w:rFonts w:ascii="Times New Roman" w:cs="Times New Roman" w:eastAsia="Times New Roman" w:hAnsi="Times New Roman"/>
          <w:sz w:val="18"/>
          <w:szCs w:val="18"/>
          <w:color w:val="auto"/>
        </w:rPr>
      </w:pPr>
    </w:p>
    <w:p>
      <w:pPr>
        <w:ind w:left="644" w:firstLine="1300"/>
        <w:spacing w:after="0" w:line="282" w:lineRule="auto"/>
        <w:tabs>
          <w:tab w:leader="none" w:pos="2260"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reinstate) a Commitment of a DIP Lender (excluding any increase as a result of an assignment of Commitments permitted under Section 8(d)) without the written consent of such DIP Lender;</w:t>
      </w:r>
    </w:p>
    <w:p>
      <w:pPr>
        <w:spacing w:after="0" w:line="161" w:lineRule="exact"/>
        <w:rPr>
          <w:rFonts w:ascii="Times New Roman" w:cs="Times New Roman" w:eastAsia="Times New Roman" w:hAnsi="Times New Roman"/>
          <w:sz w:val="18"/>
          <w:szCs w:val="18"/>
          <w:color w:val="auto"/>
        </w:rPr>
      </w:pPr>
    </w:p>
    <w:p>
      <w:pPr>
        <w:jc w:val="both"/>
        <w:ind w:left="644" w:firstLine="1300"/>
        <w:spacing w:after="0" w:line="261" w:lineRule="auto"/>
        <w:tabs>
          <w:tab w:leader="none" w:pos="2237" w:val="left"/>
        </w:tabs>
        <w:numPr>
          <w:ilvl w:val="2"/>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interest that has accrued or the rates of interest that will be charged on the outstanding principal amount of, any DIP Loans or other Obligations without the written consent of each DIP Lender directly affected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only the written consent of the Required Lenders shall be required for the waiver of interest payable at the Default Rate, retraction of the imposition of interest at the Default Rate and amendment of the definition of “</w:t>
      </w: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80" w:name="page81"/>
    <w:bookmarkEnd w:id="80"/>
    <w:p>
      <w:pPr>
        <w:ind w:left="1760" w:hanging="280"/>
        <w:spacing w:after="0"/>
        <w:tabs>
          <w:tab w:leader="none" w:pos="17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any fees payable to a DIP Lender without the written consent of such DIP Lender;</w:t>
      </w:r>
    </w:p>
    <w:p>
      <w:pPr>
        <w:spacing w:after="0" w:line="225"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180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contemplated by the definition of “Maturity Date”, postpone any date fixed for, or forgive, any payment of principal of, or interest on, any DIP Loans or for the payment of any other Obligations owing to the DIP Lenders, in each case, without the written consent of each DIP Lender directly or adversely affected thereby;</w:t>
      </w:r>
    </w:p>
    <w:p>
      <w:pPr>
        <w:spacing w:after="0" w:line="175" w:lineRule="exact"/>
        <w:rPr>
          <w:rFonts w:ascii="Times New Roman" w:cs="Times New Roman" w:eastAsia="Times New Roman" w:hAnsi="Times New Roman"/>
          <w:sz w:val="18"/>
          <w:szCs w:val="18"/>
          <w:color w:val="auto"/>
        </w:rPr>
      </w:pPr>
    </w:p>
    <w:p>
      <w:pPr>
        <w:ind w:left="1760" w:hanging="280"/>
        <w:spacing w:after="0"/>
        <w:tabs>
          <w:tab w:leader="none" w:pos="17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definition of “</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without the written consent of each DIP Lender directly affected thereby;</w:t>
      </w:r>
    </w:p>
    <w:p>
      <w:pPr>
        <w:spacing w:after="0" w:line="225" w:lineRule="exact"/>
        <w:rPr>
          <w:rFonts w:ascii="Times New Roman" w:cs="Times New Roman" w:eastAsia="Times New Roman" w:hAnsi="Times New Roman"/>
          <w:sz w:val="18"/>
          <w:szCs w:val="18"/>
          <w:color w:val="auto"/>
        </w:rPr>
      </w:pPr>
    </w:p>
    <w:p>
      <w:pPr>
        <w:ind w:left="180" w:right="20" w:firstLine="1300"/>
        <w:spacing w:after="0" w:line="282" w:lineRule="auto"/>
        <w:tabs>
          <w:tab w:leader="none" w:pos="175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this Section or amend any of the defined terms used in this Agreement or the other DIP Loan Documents insofar as such definitions affect the substance of this Section without the written consent of each DIP Lender;</w:t>
      </w:r>
    </w:p>
    <w:p>
      <w:pPr>
        <w:spacing w:after="0" w:line="161"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177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definition of the term “</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or modify in any other manner the number or percentage of the DIP Lenders required to make any determinations or waive any rights hereunder or to modify any provision hereof without the written consent of each DIP Lender;</w:t>
      </w:r>
    </w:p>
    <w:p>
      <w:pPr>
        <w:spacing w:after="0" w:line="175" w:lineRule="exact"/>
        <w:rPr>
          <w:rFonts w:ascii="Times New Roman" w:cs="Times New Roman" w:eastAsia="Times New Roman" w:hAnsi="Times New Roman"/>
          <w:sz w:val="18"/>
          <w:szCs w:val="18"/>
          <w:color w:val="auto"/>
        </w:rPr>
      </w:pPr>
    </w:p>
    <w:p>
      <w:pPr>
        <w:ind w:left="180" w:firstLine="1300"/>
        <w:spacing w:after="0" w:line="282" w:lineRule="auto"/>
        <w:tabs>
          <w:tab w:leader="none" w:pos="178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an Acceptable Sale Transaction, release all or substantially all of the Guarantors from their obligations under the applicable Guarantees to which they are a party without the written consent of each DIP Lender;</w:t>
      </w:r>
    </w:p>
    <w:p>
      <w:pPr>
        <w:spacing w:after="0" w:line="161" w:lineRule="exact"/>
        <w:rPr>
          <w:rFonts w:ascii="Times New Roman" w:cs="Times New Roman" w:eastAsia="Times New Roman" w:hAnsi="Times New Roman"/>
          <w:sz w:val="18"/>
          <w:szCs w:val="18"/>
          <w:color w:val="auto"/>
        </w:rPr>
      </w:pPr>
    </w:p>
    <w:p>
      <w:pPr>
        <w:jc w:val="both"/>
        <w:ind w:left="180" w:firstLine="1300"/>
        <w:spacing w:after="0" w:line="266" w:lineRule="auto"/>
        <w:tabs>
          <w:tab w:leader="none" w:pos="172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an Acceptable Sale Transaction, release all or substantially all of the pledged equity interests or subordinate the Lien of the DIP Agent on all or substantially all of the pledged equity interests, in each case, without the written consent of each DIP Lender;</w:t>
      </w:r>
    </w:p>
    <w:p>
      <w:pPr>
        <w:spacing w:after="0" w:line="175" w:lineRule="exact"/>
        <w:rPr>
          <w:rFonts w:ascii="Times New Roman" w:cs="Times New Roman" w:eastAsia="Times New Roman" w:hAnsi="Times New Roman"/>
          <w:sz w:val="18"/>
          <w:szCs w:val="18"/>
          <w:color w:val="auto"/>
        </w:rPr>
      </w:pPr>
    </w:p>
    <w:p>
      <w:pPr>
        <w:jc w:val="both"/>
        <w:ind w:left="180" w:firstLine="1300"/>
        <w:spacing w:after="0" w:line="261" w:lineRule="auto"/>
        <w:tabs>
          <w:tab w:leader="none" w:pos="1732"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an Acceptable Sale Transaction, (x) release all or substantially all of the Loan Parties from their obligations under any security document or (y) permit the DIP Collateral to secure any Indebtedness (other than (1) the Obligations, as applicable and (2) as expressly permitted under or contemplated by this Agreement), in each case, without the written consent of each DIP Lender; or</w:t>
      </w:r>
    </w:p>
    <w:p>
      <w:pPr>
        <w:spacing w:after="0" w:line="179" w:lineRule="exact"/>
        <w:rPr>
          <w:rFonts w:ascii="Times New Roman" w:cs="Times New Roman" w:eastAsia="Times New Roman" w:hAnsi="Times New Roman"/>
          <w:sz w:val="18"/>
          <w:szCs w:val="18"/>
          <w:color w:val="auto"/>
        </w:rPr>
      </w:pPr>
    </w:p>
    <w:p>
      <w:pPr>
        <w:ind w:left="1780" w:hanging="300"/>
        <w:spacing w:after="0"/>
        <w:tabs>
          <w:tab w:leader="none" w:pos="17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under Section 6(a) without the written consent of each DIP Lender.</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43"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DIP Agent’s Duties</w:t>
      </w:r>
      <w:r>
        <w:rPr>
          <w:rFonts w:ascii="Times New Roman" w:cs="Times New Roman" w:eastAsia="Times New Roman" w:hAnsi="Times New Roman"/>
          <w:sz w:val="18"/>
          <w:szCs w:val="18"/>
          <w:color w:val="auto"/>
        </w:rPr>
        <w:t>. No amendment, waiver or consent unless in writing and signed by the DIP Agent, in addition to the DIP Lenders required hereinabove to take such action, shall affect the rights or duties of the DIP Agent under this Agreement or any of the other DIP Loan Documents.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DIP Agent or any DIP Lender in exercising any right shall operate as a waiver thereof or otherwise be prejudicial thereto. Any Event of Default occurring hereunder shall continue to exist until such time as such Event of Default is waived in writing in accordance with the terms of this Section 8(e), notwithstanding any attempted cure or other action by the Borrowers, any other Loan Party or any other Person subsequent to the occurrence of such Event of Default. Except as otherwise explicitly provided for herein or in any other DIP Loan Document, no notice to or demand upon the Borrowers shall entitle the Borrowers to other or further notice or demand in similar or other circumstances.</w:t>
      </w:r>
    </w:p>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81" w:name="page82"/>
    <w:bookmarkEnd w:id="81"/>
    <w:p>
      <w:pPr>
        <w:jc w:val="both"/>
        <w:ind w:left="1300" w:firstLine="652"/>
        <w:spacing w:after="0" w:line="254" w:lineRule="auto"/>
        <w:tabs>
          <w:tab w:leader="none" w:pos="226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Technical Amendments</w:t>
      </w:r>
      <w:r>
        <w:rPr>
          <w:rFonts w:ascii="Times New Roman" w:cs="Times New Roman" w:eastAsia="Times New Roman" w:hAnsi="Times New Roman"/>
          <w:sz w:val="18"/>
          <w:szCs w:val="18"/>
          <w:color w:val="auto"/>
        </w:rPr>
        <w:t>. Notwithstanding anything to the contrary in this Section 8(e) (other than (iii)), if the Required Lenders and the Borrowers have jointly identified an ambiguity, omission, mistake or defect in any provision of this Agreement or any other DIP Loan Document or an inconsistency between provisions of this Agreement or provisions of another DIP Loan Document, the Required Lenders and the Borrowers shall be permitted to amend such provision or provisions to cure such ambiguity, omission, mistake, defect or inconsistency so long as the DIP Lenders and the DIP Agent shall have received at least five (5) Business Days’ prior written notice thereof and the DIP Agent shall not have received, within five (5) Business Days of the date of such notice to the DIP Lenders, a written notice from the Required Lenders stating that the Required Lenders object to such amendment. Any such amendment shall become effective without any further action or consent of any of other party to this Agreement, and the Borrowers will provide a copy of such amendment to the DIP Lenders and DIP Agent.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7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Conflict</w:t>
      </w:r>
      <w:r>
        <w:rPr>
          <w:rFonts w:ascii="Times New Roman" w:cs="Times New Roman" w:eastAsia="Times New Roman" w:hAnsi="Times New Roman"/>
          <w:sz w:val="18"/>
          <w:szCs w:val="18"/>
          <w:color w:val="auto"/>
        </w:rPr>
        <w:t xml:space="preserve">. This Agreement currently constitutes the entire agreement between the parties relating to the subject matter hereof and is binding on the parties in accordance with its terms. To the extent that there is any inconsistency between this Agreement and any of the other related DIP Loan Documents once executed, this Agreement shall govern unless such other document specifically states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to the extent that there is any inconsistency between this Agreement and the DIP Order, the DIP Order shall govern.</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Binding Effect; Governing Law</w:t>
      </w:r>
      <w:r>
        <w:rPr>
          <w:rFonts w:ascii="Times New Roman" w:cs="Times New Roman" w:eastAsia="Times New Roman" w:hAnsi="Times New Roman"/>
          <w:sz w:val="18"/>
          <w:szCs w:val="18"/>
          <w:color w:val="auto"/>
        </w:rPr>
        <w:t>. This Agreement shall become effective when it shall have been executed by the Borrowers, the Parent, the Twin Manager, the DIP Agent and the DIP Lenders and thereafter shall be binding upon and inure to the benefit of the Borrowers, the Parent, the Twin Manager, the DIP Agent, the DIP Lender and their respective successors and assigns. THIS AGREEMENT, THE OTHER DIP LOAN DOCUMENTS AND THE RIGHTS AND OBLIGATIONS OF THE PARTIES HEREUNDER AND THEREUNDER SHALL BE GOVERNED BY, AND CONSTRUED IN ACCORDANCE WITH, THE LAWS OF THE STATE OF NEW YORK.</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TO THIS AGREEMENT HEREBY AGREES TO WAIVE ITS RESPECTIVE RIGHTS TO A JURY TRIAL OF ANY CLAIM OR CAUSE OF ACTION BASED UPON OR ARISING OUT OF THIS AGREEMENT OR ANY OF THE OTHER DIP LOAN DOCUMENTS OR ANY DEALINGS BETWEEN THEM RELATING TO THE SUBJECT MATTER OF THIS LOAN TRANSACTION OR THE DIP LENDER/BORROWER RELATIONSHIP THAT IS BEING ESTABLISHED.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2" w:name="page83"/>
    <w:bookmarkEnd w:id="82"/>
    <w:p>
      <w:pPr>
        <w:jc w:val="both"/>
        <w:ind w:firstLine="656"/>
        <w:spacing w:after="0" w:line="256" w:lineRule="auto"/>
        <w:tabs>
          <w:tab w:leader="none" w:pos="87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Jurisdiction; Venue</w:t>
      </w:r>
      <w:r>
        <w:rPr>
          <w:rFonts w:ascii="Times New Roman" w:cs="Times New Roman" w:eastAsia="Times New Roman" w:hAnsi="Times New Roman"/>
          <w:sz w:val="18"/>
          <w:szCs w:val="18"/>
          <w:color w:val="auto"/>
        </w:rPr>
        <w:t>. All judicial proceedings brought against any party hereto with respect to this Agreement and the DIP Loan Documents shall be brought in the Bankruptcy Court or, upon the dismissal or other resolution of the Chapter 11 Cases, in any state or federal court of competent jurisdiction in the State of New York, and by execution and delivery of this Agreement, each Borrower accepts for itself and in connection with its properties, generally and unconditionally, the exclusive jurisdiction of the Bankruptcy Court, and irrevocably agrees to be bound by any judgment rendered thereby in connection with this Agreement. Each Borrower irrevocably waives any right it may have to assert the doctrine of forum non conveniens or to object to venue to the extent any proceeding is brought in accordance with this clause (i).</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87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 Electronic Execution</w:t>
      </w:r>
      <w:r>
        <w:rPr>
          <w:rFonts w:ascii="Times New Roman" w:cs="Times New Roman" w:eastAsia="Times New Roman" w:hAnsi="Times New Roman"/>
          <w:sz w:val="18"/>
          <w:szCs w:val="18"/>
          <w:color w:val="auto"/>
        </w:rPr>
        <w:t>. This Agreement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this Agreement by facsimile or other electronic transmission shall be as effective as delivery of an original counterpart of this Agreement. The words “execution,” “signed,” “signature,” and words of like import in this Agreement and in the other Loan Documents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1" w:lineRule="exact"/>
        <w:rPr>
          <w:rFonts w:ascii="Times New Roman" w:cs="Times New Roman" w:eastAsia="Times New Roman" w:hAnsi="Times New Roman"/>
          <w:sz w:val="18"/>
          <w:szCs w:val="18"/>
          <w:color w:val="auto"/>
        </w:rPr>
      </w:pPr>
    </w:p>
    <w:p>
      <w:pPr>
        <w:ind w:firstLine="656"/>
        <w:spacing w:after="0" w:line="282" w:lineRule="auto"/>
        <w:tabs>
          <w:tab w:leader="none" w:pos="90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used herein are for convenience of reference only, are not part of this Agreement and are not to affect the construction of, or to be taken into consideration in interpreting,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87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The DIP Agent subject to the USA PATRIOT Act (Title III of Pub. Law 107-56 (signed into law October 26, 2001)) (as amended from time to time,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hereby notifies the Borrowers that pursuant to the requirements of the PATRIOT Act, it is required to obtain, verify and record information that identifies the Borrowers and the other Loan Parties and other information that will allow the DIP Agent to identify the Borrowers and the other Loan Parties in accordance with the PATRIOT Act. This notice is given in accordance with the requirements of the PATRIOT Act and is effective as to the DIP Agent.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5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Interpretive Provisions</w:t>
      </w:r>
      <w:r>
        <w:rPr>
          <w:rFonts w:ascii="Times New Roman" w:cs="Times New Roman" w:eastAsia="Times New Roman" w:hAnsi="Times New Roman"/>
          <w:sz w:val="18"/>
          <w:szCs w:val="18"/>
          <w:color w:val="auto"/>
        </w:rPr>
        <w:t>. The words “hereof”, “herein” and “hereunder” and words of similar import when used in this Agreement shall refer to this Agreement as a whole and not to any particular provision of this Agreement, and section, subsection, schedule and exhibit references are sections, subsections, schedules and exhibits to this Agreement unless otherwise specified.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3" w:name="page84"/>
    <w:bookmarkEnd w:id="83"/>
    <w:p>
      <w:pPr>
        <w:jc w:val="both"/>
        <w:ind w:firstLine="656"/>
        <w:spacing w:after="0" w:line="252" w:lineRule="auto"/>
        <w:tabs>
          <w:tab w:leader="none" w:pos="97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TO THE EXTENT PERMITTED BY APPLICABLE LAW, AND NOTWITHSTANDING ANY OTHER PROVISION OF THIS AGREEMENT OR THE OTHER DIP LOAN DOCUMENTS: (I) NONE OF THE DIP AGENT, THE DIP LENDERS OR ANY INDEMNIFIED PARTY SHALL BE LIABLE TO ANY PARTY FOR ANY INDIRECT, SPECIAL, PUNITIVE OR CONSEQUENTIAL DAMAGES (WHETHER BASED IN CONTRACT OR TORT) IN CONNECTION WITH OR RESULTING FROM THEIR RESPECTIVE ACTIVITIES RELATED TO THIS AGREEMENT, THE OTHER DIP LOAN DOCUMENTS, THE TRANSACTIONS CONTEMPLATED HEREBY OR THEREBY, THE DIP LOANS, OR OTHERWISE IN CONNECTION WITH OR RESULTING FROM THE FOREGOING; PROVIDED, THE FOREGOING SHALL NOT APPLY TO OR ACT TO LIMIT THE INDEMNIFICATION OBLIGATIONS OF ANY PARTY WITH RESPECT TO ANY CLAIM FOR CONSEQUENTIAL DAMAGES BY A THIRD PARTY FOR WHICH THE DIP AGENT IS ENTITLED TO INDEMNIFICATION UNDER THIS AGREEMENT OR ANY OTHER DIP LOAN DOCUMENT; (II) WITHOUT LIMITING THE FOREGOING, NONE OF THE DIP LENDER, THE DIP AGENT OR ANY INDEMNIFIED PARTY SHALL BE SUBJECT TO ANY EQUITABLE REMEDY OR RELIEF, INCLUDING SPECIFIC PERFORMANCE OR INJUNCTION ARISING OUT OF OR RELATING TO THIS AGREEMENT, THE OTHER DIP LOAN DOCUMENTS, OR THE TRANSACTIONS CONTEMPLATED THEREBY; AND (III) NONE OF THE DIP LENDER, THE DIP AGENT OR ANY INDEMNIFIED PARTY SHALL HAVE ANY LIABILITY TO THE LOAN PARTIES, FOR DAMAGES OR OTHERWISE, ARISING OUT OF OR RELATING TO THIS AGREEMENT, THE OTHER DIP LOAN DOCUMENTS, OR THE TRANSACTIONS CONTEMPLATED THEREBY FOR ANY ACT OR OMISSION PRIOR TO THE CLOSING DATE.</w:t>
      </w:r>
    </w:p>
    <w:p>
      <w:pPr>
        <w:spacing w:after="0" w:line="195"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demands, and other communications to be given or delivered under or by reason of the provisions of this Agreement shall be in writing and shall be deemed to have been given (a) when personally delivered, (b) when transmitted via electronic mail to the e-mail address set out below if the sender on the same day sends a confirming copy of such notice by a recognized overnight delivery service (charges prepaid), (c) the day following the day (except if not a Business Day then the next Business Day) on which the same has been delivered prepaid to a reputable national</w:t>
      </w:r>
    </w:p>
    <w:p>
      <w:pPr>
        <w:spacing w:after="0" w:line="3"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overnight courier service, or (d)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following the day on which the same is sent by certified or registered mail, postage prepaid. Notices, demands, and communications, in each case to the respective parties, shall be sent to the applicable address set forth below, unless another address has been previously specified in writing:</w:t>
      </w:r>
    </w:p>
    <w:p>
      <w:pPr>
        <w:spacing w:after="0" w:line="198" w:lineRule="exact"/>
        <w:rPr>
          <w:sz w:val="20"/>
          <w:szCs w:val="20"/>
          <w:color w:val="auto"/>
        </w:rPr>
      </w:pPr>
    </w:p>
    <w:p>
      <w:pPr>
        <w:ind w:left="2600" w:hanging="648"/>
        <w:spacing w:after="0"/>
        <w:tabs>
          <w:tab w:leader="none" w:pos="26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DIP Agent, to:</w:t>
      </w:r>
    </w:p>
    <w:p>
      <w:pPr>
        <w:spacing w:after="0" w:line="225" w:lineRule="exact"/>
        <w:rPr>
          <w:rFonts w:ascii="Times New Roman" w:cs="Times New Roman" w:eastAsia="Times New Roman" w:hAnsi="Times New Roman"/>
          <w:sz w:val="18"/>
          <w:szCs w:val="18"/>
          <w:color w:val="auto"/>
        </w:rPr>
      </w:pPr>
    </w:p>
    <w:p>
      <w:pPr>
        <w:ind w:left="2600" w:right="6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UMB Bank, N.A., as DIP Agent Loan Agency and Corporate Trust 1412 Broadway, Suite 1606 New York, NY 10018</w:t>
      </w:r>
    </w:p>
    <w:p>
      <w:pPr>
        <w:spacing w:after="0" w:line="2"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Prital K. Patel, Vice President</w:t>
      </w:r>
    </w:p>
    <w:p>
      <w:pPr>
        <w:spacing w:after="0" w:line="9"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Prital.Patel@umb.com</w:t>
      </w:r>
      <w:r>
        <w:rPr>
          <w:rFonts w:ascii="Times New Roman" w:cs="Times New Roman" w:eastAsia="Times New Roman" w:hAnsi="Times New Roman"/>
          <w:sz w:val="18"/>
          <w:szCs w:val="18"/>
          <w:color w:val="auto"/>
        </w:rPr>
        <w:t>; loanagency@umb.com</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4" w:name="page85"/>
    <w:bookmarkEnd w:id="84"/>
    <w:p>
      <w:pPr>
        <w:ind w:left="1480"/>
        <w:spacing w:after="0"/>
        <w:rPr>
          <w:sz w:val="20"/>
          <w:szCs w:val="20"/>
          <w:color w:val="auto"/>
        </w:rPr>
      </w:pPr>
      <w:r>
        <w:rPr>
          <w:rFonts w:ascii="Times New Roman" w:cs="Times New Roman" w:eastAsia="Times New Roman" w:hAnsi="Times New Roman"/>
          <w:sz w:val="18"/>
          <w:szCs w:val="18"/>
          <w:color w:val="auto"/>
        </w:rPr>
        <w:t>with a copy (which shall not constitute notice) to counsel to the DIP Lenders:</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White &amp; Case LLP</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1221 Avenue of the Americas</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New York, NY 10020</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Attention: Brian Pfeiffer; Amanda Parra-Criste; Andrew Zatz</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brian.pfeiffer@whitecase.com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aparracriste@whitecase.com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azatz@whitecase.com</w:t>
      </w:r>
    </w:p>
    <w:p>
      <w:pPr>
        <w:spacing w:after="0" w:line="207" w:lineRule="exact"/>
        <w:rPr>
          <w:sz w:val="20"/>
          <w:szCs w:val="20"/>
          <w:color w:val="auto"/>
        </w:rPr>
      </w:pPr>
    </w:p>
    <w:p>
      <w:pPr>
        <w:ind w:left="1480" w:right="5460" w:hanging="648"/>
        <w:spacing w:after="0" w:line="261" w:lineRule="auto"/>
        <w:tabs>
          <w:tab w:leader="none" w:pos="14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FBG DIP Borrowers, to: FAT Brands Inc.</w:t>
      </w:r>
    </w:p>
    <w:p>
      <w:pPr>
        <w:ind w:left="1480" w:right="5440"/>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9720 Wilshire Blvd, Suite 500 Beverly Hills, CA 90212 Attention: Allen Z. Sussman Email: asussman@fatbrands.com</w:t>
      </w:r>
    </w:p>
    <w:p>
      <w:pPr>
        <w:spacing w:after="0" w:line="172"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Latham &amp; Watkins LLP</w:t>
      </w:r>
    </w:p>
    <w:p>
      <w:pPr>
        <w:spacing w:after="0" w:line="27" w:lineRule="exact"/>
        <w:rPr>
          <w:rFonts w:ascii="Times New Roman" w:cs="Times New Roman" w:eastAsia="Times New Roman" w:hAnsi="Times New Roman"/>
          <w:sz w:val="18"/>
          <w:szCs w:val="18"/>
          <w:color w:val="auto"/>
        </w:rPr>
      </w:pPr>
    </w:p>
    <w:p>
      <w:pPr>
        <w:ind w:left="1480" w:right="57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1271 Avenue of the Americas New York, NY 10020</w:t>
      </w: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Ray C. Schrock; Natasha Hwangpo; Nathan Whitaker Jordan Gratch</w:t>
      </w:r>
    </w:p>
    <w:p>
      <w:pPr>
        <w:spacing w:after="0" w:line="9"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ray.schrock@lw.com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natasha.hwangpo@lw.com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Nathan.whitaker@lw.com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Jordan.Gratch@lw.com</w:t>
      </w:r>
    </w:p>
    <w:p>
      <w:pPr>
        <w:spacing w:after="0" w:line="21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 and –</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10250 Constellation Blvd., Suite 1100</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Attention: Ted A. Dillman</w:t>
      </w:r>
    </w:p>
    <w:p>
      <w:pPr>
        <w:spacing w:after="0" w:line="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ted.dillman@lw.com</w:t>
      </w:r>
    </w:p>
    <w:p>
      <w:pPr>
        <w:spacing w:after="0" w:line="207" w:lineRule="exact"/>
        <w:rPr>
          <w:sz w:val="20"/>
          <w:szCs w:val="20"/>
          <w:color w:val="auto"/>
        </w:rPr>
      </w:pPr>
    </w:p>
    <w:p>
      <w:pPr>
        <w:ind w:left="1480" w:hanging="648"/>
        <w:spacing w:after="0"/>
        <w:tabs>
          <w:tab w:leader="none" w:pos="14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Twin DIP Borrower, to:</w:t>
      </w:r>
    </w:p>
    <w:p>
      <w:pPr>
        <w:spacing w:after="0" w:line="225"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Twin Hospitality Group Inc.</w:t>
      </w:r>
    </w:p>
    <w:p>
      <w:pPr>
        <w:spacing w:after="0" w:line="27" w:lineRule="exact"/>
        <w:rPr>
          <w:rFonts w:ascii="Times New Roman" w:cs="Times New Roman" w:eastAsia="Times New Roman" w:hAnsi="Times New Roman"/>
          <w:sz w:val="18"/>
          <w:szCs w:val="18"/>
          <w:color w:val="auto"/>
        </w:rPr>
      </w:pPr>
    </w:p>
    <w:p>
      <w:pPr>
        <w:ind w:left="1480" w:right="54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9720 Wilshire Blvd, Suite 500 Beverly Hills, CA 90212 Attention: Allen Z. Sussman Email: </w:t>
      </w:r>
      <w:r>
        <w:rPr>
          <w:rFonts w:ascii="Times New Roman" w:cs="Times New Roman" w:eastAsia="Times New Roman" w:hAnsi="Times New Roman"/>
          <w:sz w:val="17"/>
          <w:szCs w:val="17"/>
          <w:u w:val="single" w:color="auto"/>
          <w:color w:val="auto"/>
        </w:rPr>
        <w:t>asussman@fatbrands.com</w:t>
      </w: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206"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Latham &amp; Watkins LLP</w:t>
      </w:r>
    </w:p>
    <w:p>
      <w:pPr>
        <w:spacing w:after="0" w:line="27" w:lineRule="exact"/>
        <w:rPr>
          <w:rFonts w:ascii="Times New Roman" w:cs="Times New Roman" w:eastAsia="Times New Roman" w:hAnsi="Times New Roman"/>
          <w:sz w:val="18"/>
          <w:szCs w:val="18"/>
          <w:color w:val="auto"/>
        </w:rPr>
      </w:pPr>
    </w:p>
    <w:p>
      <w:pPr>
        <w:ind w:left="1480" w:right="57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1271 Avenue of the Americas New York, NY 10020</w:t>
      </w: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Ray C. Schrock; Natasha Hwangpo; Nathan Whitaker Jordan Gratch</w:t>
      </w:r>
    </w:p>
    <w:p>
      <w:pPr>
        <w:spacing w:after="0" w:line="9"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u w:val="single" w:color="auto"/>
          <w:color w:val="auto"/>
        </w:rPr>
        <w:t>ray.schrock@lw.com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natasha.hwangpo@lw.com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Nathan.whitaker@lw.com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Jordan.Gratch@lw.com</w:t>
      </w:r>
    </w:p>
    <w:p>
      <w:pPr>
        <w:spacing w:after="0" w:line="21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320"/>
          </w:cols>
          <w:pgMar w:left="1440" w:top="688" w:right="1139" w:bottom="1440" w:gutter="0" w:footer="0" w:header="0"/>
        </w:sectPr>
      </w:pPr>
    </w:p>
    <w:bookmarkStart w:id="85" w:name="page86"/>
    <w:bookmarkEnd w:id="85"/>
    <w:p>
      <w:pPr>
        <w:ind w:left="2600"/>
        <w:spacing w:after="0"/>
        <w:rPr>
          <w:sz w:val="20"/>
          <w:szCs w:val="20"/>
          <w:color w:val="auto"/>
        </w:rPr>
      </w:pPr>
      <w:r>
        <w:rPr>
          <w:rFonts w:ascii="Times New Roman" w:cs="Times New Roman" w:eastAsia="Times New Roman" w:hAnsi="Times New Roman"/>
          <w:sz w:val="18"/>
          <w:szCs w:val="18"/>
          <w:color w:val="auto"/>
        </w:rPr>
        <w:t>– and –</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10250 Constellation Blvd., Suite 1100</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Ted A. Dillman</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ted.dillman@lw.com</w:t>
      </w:r>
    </w:p>
    <w:p>
      <w:pPr>
        <w:spacing w:after="0" w:line="207" w:lineRule="exact"/>
        <w:rPr>
          <w:sz w:val="20"/>
          <w:szCs w:val="20"/>
          <w:color w:val="auto"/>
        </w:rPr>
      </w:pPr>
    </w:p>
    <w:p>
      <w:pPr>
        <w:ind w:left="2600" w:hanging="648"/>
        <w:spacing w:after="0"/>
        <w:tabs>
          <w:tab w:leader="none" w:pos="26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Lender:</w:t>
      </w:r>
    </w:p>
    <w:p>
      <w:pPr>
        <w:spacing w:after="0" w:line="225"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Lender’s address or telecopy number as set forth in the applicable Administrative Questionnaire</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Specified Financial Advisor, to:</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Houlihan Lokey Capital, Inc.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245 Park Ave 20th Fl</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NY 10167</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Attention: Jason Feintuch</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JFeintuch@HL.com</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Notices and other communications to the DIP Lenders hereunder may be delivered or furnished by electronic communications pursuant to procedures approved by the DIP Agent. The DIP Agent may agree to accept notices and other communications to it hereunder by electronic communications pursuant to procedures approved by it; provided that approval of such procedures may be limited to particular notices or communications.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Each Loan Party further agrees that the DIP Agent may, but shall not be obligated to, make the Communications (as defined below) available to the DIP Lenders by posting the Communications on the Platform. 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DIP Agent or any of its Related Parties (collectively, the “</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have any liability to any Loan Party, any Lender or any other Person or entity for damages of any kind, including, without limitation, direct or indirect, special, incidental or consequential damages, losses or expenses (whether in tort, contract or otherwise) arising out of the Borrower’s or the DIP Agent’s transmission of communications through the Platform.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Loan Party pursuant to any DIP Loan Document or the transactions contemplated therein which is distributed to the DIP Agent or any DIP Lender by means of electronic communications pursuant to this Section, including through the Platform.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6" w:name="page87"/>
    <w:bookmarkEnd w:id="86"/>
    <w:p>
      <w:pPr>
        <w:ind w:left="660"/>
        <w:spacing w:after="0"/>
        <w:rPr>
          <w:sz w:val="20"/>
          <w:szCs w:val="20"/>
          <w:color w:val="auto"/>
        </w:rPr>
      </w:pPr>
      <w:r>
        <w:rPr>
          <w:rFonts w:ascii="Times New Roman" w:cs="Times New Roman" w:eastAsia="Times New Roman" w:hAnsi="Times New Roman"/>
          <w:sz w:val="18"/>
          <w:szCs w:val="18"/>
          <w:color w:val="auto"/>
        </w:rPr>
        <w:t>(p) The obligations of the DIP Lenders hereunder are several and not joint and several.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The DIP Agent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1" w:lineRule="auto"/>
        <w:tabs>
          <w:tab w:leader="none" w:pos="89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and Authorization</w:t>
      </w:r>
      <w:r>
        <w:rPr>
          <w:rFonts w:ascii="Times New Roman" w:cs="Times New Roman" w:eastAsia="Times New Roman" w:hAnsi="Times New Roman"/>
          <w:sz w:val="18"/>
          <w:szCs w:val="18"/>
          <w:color w:val="auto"/>
        </w:rPr>
        <w:t>. Each DIP Lender hereby irrevocably appoints and authorizes the DIP Agent to take such action as contractual representative on such DIP Lender’s behalf and to exercise such powers under this Agreement and the other DIP Loan Documents to which the DIP Agent is a party as are specifically and expressly delegated to the DIP Agent by the terms hereof and thereof. Each DIP Lender hereby acknowledges and agrees that the DIP Agent shall not have any duties or responsibilities except those expressly set forth herein and in the other DIP Loan Documents to which the DIP Agent is a party. The duties of the DIP Agent under the DIP Loan Documents are solely ministerial and administrative in nature. Not in limitation of the foregoing, each DIP Lender authorizes and directs the DIP Agent to (i) enter into the DIP Loan Documents to be executed on the date hereof to which the DIP Agent is a party and perform its duties as expressly stated thereunder, and (ii) to enter into the other DIP Loan Documents (including, without limitation, any Segregated Account Control Agreement executed after the date hereof) to which the DIP Agent is a party and perform its duties as expressly stated thereunder solely at the written direction of the Required Lenders. Each DIP Lender hereby agrees that, except as otherwise set forth herein, any action taken by the Required Lenders in accordance with the provisions of this Agreement or the DIP Loan Documents, and the exercise by the Required Lenders of the powers set forth herein or therein, together with such other powers as are reasonably incidental thereto, shall be authorized and binding upon all of the DIP Lenders. Nothing herein shall be construed to deem the DIP Agent a trustee or fiduciary for any DIP Lender or to impose on the DIP Agent duties or obligations other than those expressly provided for herein and nothing herein shall impose on the DIP Agent any other implied duties, regardless of whether a Default or Event of Default has occurred and is continuing. Without limiting the generality of the foregoing, the use of the terms “</w:t>
      </w:r>
      <w:r>
        <w:rPr>
          <w:rFonts w:ascii="Times New Roman" w:cs="Times New Roman" w:eastAsia="Times New Roman" w:hAnsi="Times New Roman"/>
          <w:sz w:val="18"/>
          <w:szCs w:val="18"/>
          <w:u w:val="single" w:color="auto"/>
          <w:color w:val="auto"/>
        </w:rPr>
        <w:t>DIP Agent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“agent” and similar terms in the DIP Loan Documents with reference to the DIP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DIP Agent shall deliver to each DIP Lender, promptly upon receipt thereof by the DIP Agent, copies of each of the financial statements, certificates, notices and other documents delivered to the DIP Agent pursuant to Section 5 that the Borrowers are not otherwise required to deliver directly to the DIP Lenders. The DIP Agent will furnish to any DIP Lender, upon the request of such DIP Lender, a copy (or, where appropriate, an original) of any document, instrument, agreement, certificate or notice furnished to the DIP Agent by the Borrowers, any other Loan Party or any other Affiliate of the Borrowers, pursuant to this Agreement or any other DIP Loan Document not already delivered or otherwise made available to such DIP Lender pursuant to the terms of this Agreement or any such other DIP Loan Document. The DIP Agent shall not be required to exercise any discretion or take any action (including, without limitation, with respect to matters concerning the enforcement or collection of any of the Obligations), but shall be required to act or to refrain from acting (and shall be fully protected in so acting or refraining from acting) upon the written direction of the Required Lenders (or all of the DIP Lenders if explicitly required under any other provision of this Agreement), and such written direction shall be binding upon all DIP Lenders and all holders of any of the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anything in this Agreement to the contrary, the DIP Agent shall not be required to take any action which, in the opinion of the DIP Agent or its counsel, exposes the DIP Agent to liability or which is contrary to this Agreement or any other DIP Loan Document or applicable law. The DIP Agent shall not be liable for any action taken or not taken by it with the consent or at the request of the Required Lenders (or all of the DIP Lenders if explicitly required under any other provision of this Agreement). The permissive authorizations, entitlements, powers and rights (including the right to request that the DIP Lenders take an action or deliver a document and the exercise of remedies following an Event of Default) granted to the DIP Agent herein shall not be construed as duties. The DIP Agent shall not have any responsibility for interest or income on any funds held by it hereunder and any funds so held shall be held uninvested pending distribution thereof. Whether or not explicitly set forth therein, the rights, powers, protections, immunities and indemnities granted to the DIP Agent herein shall apply to any document entered into by the DIP Agent in connection with its role as DIP Agent under the DIP Loan Documents. Without limiting the foregoing, no DIP Lender shall have any right of action whatsoever against the DIP Agent as a result of the DIP Agent acting or refraining from acting under this Agreement or any of the other DIP Loan Documents in accordance with the written direction of the Required Lenders, or where applicable, all the DIP Lenders. Any institution serving as the DIP Agent hereunder shall have the same rights and powers in its capacity as a DIP Lender as any other DIP Lender and may exercise the same as though it were not the DIP Agent, and such institution and its respective Affiliates may accept deposits from, lend money to and generally engage in any kind of business with the Loan Parties or any Subsidiary or other Affiliate of the Loan Parties as if it were not the DIP Agent hereunder.</w:t>
      </w:r>
    </w:p>
    <w:p>
      <w:pPr>
        <w:spacing w:after="0" w:line="197"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Approvals of DIP Lenders</w:t>
      </w:r>
      <w:r>
        <w:rPr>
          <w:rFonts w:ascii="Times New Roman" w:cs="Times New Roman" w:eastAsia="Times New Roman" w:hAnsi="Times New Roman"/>
          <w:sz w:val="18"/>
          <w:szCs w:val="18"/>
          <w:color w:val="auto"/>
        </w:rPr>
        <w:t>. All communications from the DIP Agent to any DIP Lender requesting such DIP Lender’s determination, consent, approval or disapproval (i) shall be given in the form of a written notice to such DIP Lender, (ii) shall be accompanied by a description of the matter or issue as to which such determination, approval, consent or disapproval is requested, or shall advise such DIP Lender where information, if any, regarding such matter or issue may be inspected, or shall otherwise describe the matter or issue to be resolved, and (iii) shall include, if reasonably requested by such DIP Lender and to the extent not previously provided to such DIP Lender, written materials provided to the DIP Agent by the applicable Borrowers in respect of the matter or issue to be resolved.</w:t>
      </w:r>
    </w:p>
    <w:p>
      <w:pPr>
        <w:spacing w:after="0" w:line="187" w:lineRule="exact"/>
        <w:rPr>
          <w:rFonts w:ascii="Times New Roman" w:cs="Times New Roman" w:eastAsia="Times New Roman" w:hAnsi="Times New Roman"/>
          <w:sz w:val="18"/>
          <w:szCs w:val="18"/>
          <w:color w:val="auto"/>
        </w:rPr>
      </w:pPr>
    </w:p>
    <w:p>
      <w:pPr>
        <w:jc w:val="both"/>
        <w:ind w:firstLine="656"/>
        <w:spacing w:after="0" w:line="254" w:lineRule="auto"/>
        <w:tabs>
          <w:tab w:leader="none" w:pos="90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Events of Default</w:t>
      </w:r>
      <w:r>
        <w:rPr>
          <w:rFonts w:ascii="Times New Roman" w:cs="Times New Roman" w:eastAsia="Times New Roman" w:hAnsi="Times New Roman"/>
          <w:sz w:val="18"/>
          <w:szCs w:val="18"/>
          <w:color w:val="auto"/>
        </w:rPr>
        <w:t>. The DIP Agent shall not be deemed to have knowledge or notice of the occurrence of a Default or Event of Default unless the DIP Agent has received written notice from a DIP Lender or the Borrower referring to this Agreement, describing with reasonable specificity such Default or Event of Default and stating that such notice is a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If any DIP Lender (if applicable, excluding the DIP Lender which is also serving as the DIP Agent) becomes aware of any Default or Event of Default, it shall promptly send to the DIP Agent such a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DIP Lender’s failure to provide such a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to the DIP Agent shall not result in any liability of such DIP Lender to any other party under any of the DIP Loan Documents. Further, if the DIP Agent receives such a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the DIP Agent shall give prompt notice thereof to the DIP Lenders. The DIP Agent shall take such action with respect to such Default or Event of Default as may be directed in writing by the Required Lenders.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7" w:name="page88"/>
    <w:bookmarkEnd w:id="87"/>
    <w:p>
      <w:pPr>
        <w:jc w:val="both"/>
        <w:ind w:firstLine="656"/>
        <w:spacing w:after="0" w:line="251" w:lineRule="auto"/>
        <w:tabs>
          <w:tab w:leader="none" w:pos="91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DIP Agent may consult with legal counsel (including its own counsel or counsel for the Borrower or any other Loan Party), independent public accountants and other experts selected by it and shall not be liable for any action taken or omitted to be taken in the absence of bad faith or willful misconduct (as determined by a court of competent jurisdiction in a final non-appealable judgement) by it in accordance with the advice of such counsel, accountants or experts. Neither the DIP Agent nor any of its Related Parties: (i) makes any warranty or representation to any DIP Lender or any other Person, or shall be responsible to any DIP Lender or any other Person for, or have any duty to ascertain or inquire into any statement, warranty or representation made or deemed made by the Borrowers, any other Loan Party, DIP Lender or any other Person in or in connection with this Agreement or any other DIP Loan Document; (ii) shall have any duty to ascertain or to inquire as to the performance or observance of any of the terms, covenants or conditions of this Agreement or any other DIP Loan Document or the satisfaction of any conditions precedent under this Agreement or any DIP Loan Document on the part of the Borrowers or other Persons, or to inspect the property, books or records of the Borrower or any other Person; (iii) shall be responsible to any DIP Lender for the due execution, legality, validity, enforceability, genuineness, sufficiency or value of this Agreement or any other DIP Loan Document, any other instrument or document furnished pursuant thereto or any collateral covered thereby or the perfection or priority of any Lien in favor of the DIP Agent on behalf of the DIP Lenders in any such collateral; (iv) shall have any liability in respect of any recitals, statements, certifications, representations or warranties contained in any of the DIP Loan Documents or any other document, instrument, agreement, certificate or statement delivered in connection therewith; and (v) shall incur any liability under or in respect of this Agreement or any other DIP Loan Document by acting upon any notice, consent, certificate or other instrument or writing (which may be by telephone, telecopy or electronic mail) believed by it to be genuine and signed, sent or given by the proper party or parties. The DIP Agent may execute any of its duties under the DIP Loan Documents by or through agents, employees or attorneys-in-fact and shall not be responsible for the negligence or misconduct of any agent or attorney-in-fact that it appoints with due care. The DIP Agent and any sub-agent may perform any and all of its duties and exercise its rights and powers through its Related Parties and the exculpatory provisions of this Section 9 shall apply to any such sub-agent and to the Related Parties of the DIP Agent and shall apply to their respective activities in connection with the performance of its obligations hereunder and the other DIP Loan Documents. Delivery of reports, documents and other information to the DIP Agent is for informational purposes only and the DIP Agent’s receipt of the foregoing shall not constitute constructive knowledge of any event or circumstance or any information contained therein or determinable from information contained therein. Information contained in notices, reports or other documents delivered to the DIP Agent and other publicly available information shall not constitute actual or constructive knowledge. Knowledge of or notices or other documents delivered to the DIP Agent in any capacity shall not constitute knowledge of or delivery to the DIP Agent in any other capacity under the DIP Loan Documents or to any Affiliate or other division of the DIP Agent. The DIP Agent shall be entitled to rely upon, and shall not incur any liability for relying upon, any notice, request, certificate, consent, calculation, statement, instrument, document or other writing (including any electronic message, Internet or intranet website posting or other distribution) believed by it to be genuine and to have been signed or sent by the proper Person. In determining compliance with any condition hereunder to the making of a DIP Loan that by its terms must be fulfilled to the satisfaction of a DIP Lender, the DIP Agent may presume that such condition is satisfactory to such DIP Lender unless the DIP Agent shall have received written notice to the contrary from such DIP Lender prior to the making of such DIP Loan.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8" w:name="page89"/>
    <w:bookmarkEnd w:id="8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Notwithstanding any provision under the DIP Loan Documents to the contrary, before taking or omitting any action to be taken or omitted by the DIP Agent under the terms of the DIP Loan Documents, the DIP Agent may seek the written direction of the Required Lenders (or such other number or percentage of DIP Lenders as is required hereof), which written direction may be in the form of an email, and the DIP Agent is entitled to rely (and is fully protected in so relying) upon such direction. If the DIP Agent requests such direction with respect to any action, the DIP Agent shall be entitled to refrain from such action unless and until the DIP Agent has received such direction, and the DIP Agent does not incur liability to any Person by reason of so refraining. In the absence of an express statement in the DIP Loan Documents regarding which DIP Lenders shall direct in any circumstance, the written direction of the Required Lenders shall apply and be sufficient for all purposes. If the DIP Agent so requests, it must first be indemnified to its satisfaction by the DIP Lenders against any and all fees, losses, liabilities and expenses which may be incurred by the DIP Agent by reason of taking or continuing to take, or omitting, any action directed by any DIP Lender prior to having any obligation to take or omit to take any such action. Any provision of the DIP Loan Documents authorizing the DIP Agent to take any action does not obligate the DIP Agent to take such action.</w:t>
      </w:r>
    </w:p>
    <w:p>
      <w:pPr>
        <w:spacing w:after="0" w:line="194" w:lineRule="exact"/>
        <w:rPr>
          <w:sz w:val="20"/>
          <w:szCs w:val="20"/>
          <w:color w:val="auto"/>
        </w:rPr>
      </w:pPr>
    </w:p>
    <w:p>
      <w:pPr>
        <w:jc w:val="both"/>
        <w:ind w:firstLine="656"/>
        <w:spacing w:after="0" w:line="251" w:lineRule="auto"/>
        <w:tabs>
          <w:tab w:leader="none" w:pos="91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DIP Agent</w:t>
      </w:r>
      <w:r>
        <w:rPr>
          <w:rFonts w:ascii="Times New Roman" w:cs="Times New Roman" w:eastAsia="Times New Roman" w:hAnsi="Times New Roman"/>
          <w:sz w:val="18"/>
          <w:szCs w:val="18"/>
          <w:color w:val="auto"/>
        </w:rPr>
        <w:t xml:space="preserve">. Without duplication of any amounts indemnified pursuant to Section 8(c)(vi), each DIP Lender agrees to indemnify the DIP Agent (to the extent not reimbursed or indemnified by the Borrowers or any other Loan Party and without limiting the obligation of the Borrowers or any other Loan Party to do so)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in accordance with such DIP Lender’s respective Pro Rata Share (determined as of the time that the applicable unreimbursed expense or indemnity payment is sought), from and against any and all fees, liabilities, obligations, losses, damages, penalties, actions, judgments, suits, reasonable out-of-pocket costs and expenses of any kind or nature whatsoever (including, without limitation, counsel fees and compensation of agents and employees) which may at any time be imposed on, incurred by, or asserted against the DIP Agent (in its capacity as DIP Agent but not as a DIP Lender) in any way relating to or arising out of the DIP Loan Documents (including, without limitation, any obligation of the DIP Agent to indemnify or reimburse a bank, securities intermediary or financial institution under any Segregated Account Control Agreement or other account control agreement entered into by the DIP Agent under the DIP Loan Documents), any transaction contemplated hereby or thereby or any action taken or omitted by the DIP Agent under the DIP Loan Documents (collectively, “</w:t>
      </w:r>
      <w:r>
        <w:rPr>
          <w:rFonts w:ascii="Times New Roman" w:cs="Times New Roman" w:eastAsia="Times New Roman" w:hAnsi="Times New Roman"/>
          <w:sz w:val="18"/>
          <w:szCs w:val="18"/>
          <w:u w:val="single" w:color="auto"/>
          <w:color w:val="auto"/>
        </w:rPr>
        <w:t>Indemnifiable Amounts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DIP Lender shall be liable for any portion of such Indemnifiable Amounts to the extent resulting from the DIP Agent’s gross negligence or willful misconduct as determined by a court of competent jurisdiction in a final, non-appealable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action taken in accordance with the directions of the Required Lenders (or all of the DIP Lenders, if expressly required hereunder) shall be deemed to constitute gross negligence or willful misconduct for purposes of this Section 9. Without limiting the generality of the foregoing, each DIP Lender agrees to reimburse the DIP Agent (to the extent not reimbursed by the Borrowers or any other Loan Party and without limiting the obligation of the Borrowers or any other Loan Party to do so) promptly upon demand for its ratable share of any out-of-pocket expenses (including the reasonable fees and expenses of counsel to the DIP Agent) incurred by the DIP Agent in connection with the preparation, negotiation, execution, administration, or enforcement (whether through negotiations, legal proceedings, or otherwise) of, or legal advice with respect to the rights or responsibilities of the parties under, the DIP Loan Documents, any suit or action brought by the DIP Agent to enforce the terms of the DIP Loan Documents and/or collect any Obligations, any “lender liability” suit or claim brought against the DIP Agent and/or the DIP Lenders, and any claim or suit brought against the DIP Agent and/or the DIP Lenders arising under any environmental laws. Such out-of-pocket expenses (including counsel fees) shall be advanced by the DIP Lenders on the request of the DIP Agent notwithstanding any claim or assertion that the DIP Agent is not entitled to indemnification hereunder upon receipt of an undertaking by the DIP Agent that the DIP Agent will reimburse the DIP Lenders if it is actually and finally determined by a court of competent jurisdiction that the DIP Agent is not so entitled to indemnification. To the extent permitted by applicable law, no party shall assert, and each party hereby waives, any claim against the DIP Agent, on any theory of liability, for special, indirect, incidental, consequential (including lost profits) or punitive damages (as opposed to direct or actual damages) arising out of, in connection with, or as a result of, hereunder or any DIP Loan Document or instrument contemplated hereby, any DIP Loan or the use of the proceeds thereof regardless of the form of action and whether or not any such damages were foreseeable or contemplated. The agreements and obligations in this Section 9 shall survive, remain operative and in full force and effect regardless of the resignation or replacement of the DIP Agent or payment of the DIP Loans and all other amounts payable hereunder or under the other DIP Loan Documents and the termination of this Agreement. If the Borrowers or any other Loan Party shall reimburse the DIP Agent for any Indemnifiable Amount following payment by any DIP Lender to the DIP Agent in respect of such Indemnifiable Amount pursuant to this Section 9, the DIP Agent shall share such reimbursement on a ratable basis with each DIP Lender making any such payment.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9" w:name="page90"/>
    <w:bookmarkEnd w:id="89"/>
    <w:p>
      <w:pPr>
        <w:jc w:val="both"/>
        <w:ind w:firstLine="656"/>
        <w:spacing w:after="0" w:line="252" w:lineRule="auto"/>
        <w:tabs>
          <w:tab w:leader="none" w:pos="87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 Credit Decisions</w:t>
      </w:r>
      <w:r>
        <w:rPr>
          <w:rFonts w:ascii="Times New Roman" w:cs="Times New Roman" w:eastAsia="Times New Roman" w:hAnsi="Times New Roman"/>
          <w:sz w:val="18"/>
          <w:szCs w:val="18"/>
          <w:color w:val="auto"/>
        </w:rPr>
        <w:t>. Each of the DIP Lenders expressly acknowledges and agrees that neither the DIP Agent nor any of its Related Parties has made any representations or warranties to such DIP Lender and that no act by the DIP Agent hereafter taken, including any review of the affairs of the Borrowers, any other Loan Party or any other Subsidiary of the Borrowers or any Affiliate, shall be deemed to constitute any such representation or warranty by the DIP Agent to any DIP Lender. Each of the DIP Lenders acknowledges that it has made its own credit and legal analysis and decision to enter into this Agreement and the transactions contemplated hereby, independently and without reliance upon the DIP Agent, any other DIP Lender or counsel to the DIP Agent, or any of their respective Related Parties, and based on the financial statements of the Borrowers, the other Loan Parties, the other Subsidiaries and other Affiliates, and inquiries of such Persons, its independent due diligence of the business and affairs of the Borrowers, the other Loan Parties, the other Subsidiaries and other Persons, its review of the DIP Loan Documents, the advice of its own counsel and such other documents and information as it has deemed appropriate. Each of the DIP Lenders also acknowledges that it will, independently and without reliance upon the DIP Agent, any other DIP Lender or counsel to the DIP Agent or any of their respective Related Parties, and based on such review, advice, documents and information as it shall deem appropriate at the time, continue to make its own decisions in taking or not taking action under the DIP Loan Documents. The DIP Agent shall not be required to keep itself informed as to the performance or observance by the Borrowers or any other Loan Party of the DIP Loan Documents or any other document referred to or provided for therein or to inspect the properties or books of, or make any other investigation of, the Borrowers, any other Loan Party or any other Subsidiary of the Borrowers. Except for notices, reports and other documents and information expressly required to be furnished to the DIP Lenders by the DIP Agent under this Agreement or any of the other DIP Loan Documents or furnished to the DIP Agent for distribution to the DIP Lenders, the DIP Agent shall have no duty or responsibility to provide any DIP Lender with any credit or other information concerning the business, operations, property, financial and other condition or creditworthiness of the Borrowers, any other Loan Party or any other Affiliate thereof which may come into possession of the DIP Agent or any of its Related Parties. Each of the DIP Lenders acknowledges that the DIP Agent’s legal counsel in connection with the transactions contemplated by this Agreement is only acting as counsel to the DIP Agent and is not acting as counsel to any DIP Lender.</w:t>
      </w:r>
    </w:p>
    <w:p>
      <w:pPr>
        <w:spacing w:after="0" w:line="190" w:lineRule="exact"/>
        <w:rPr>
          <w:rFonts w:ascii="Times New Roman" w:cs="Times New Roman" w:eastAsia="Times New Roman" w:hAnsi="Times New Roman"/>
          <w:sz w:val="18"/>
          <w:szCs w:val="18"/>
          <w:color w:val="auto"/>
        </w:rPr>
      </w:pPr>
    </w:p>
    <w:p>
      <w:pPr>
        <w:jc w:val="both"/>
        <w:ind w:firstLine="656"/>
        <w:spacing w:after="0" w:line="251" w:lineRule="auto"/>
        <w:tabs>
          <w:tab w:leader="none" w:pos="903"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Agent</w:t>
      </w:r>
      <w:r>
        <w:rPr>
          <w:rFonts w:ascii="Times New Roman" w:cs="Times New Roman" w:eastAsia="Times New Roman" w:hAnsi="Times New Roman"/>
          <w:sz w:val="18"/>
          <w:szCs w:val="18"/>
          <w:color w:val="auto"/>
        </w:rPr>
        <w:t xml:space="preserve">. The DIP Agent may (i) resign at any time as DIP Agent under the DIP Loan Documents by giving written notice thereof to the DIP Lenders and the Borrowers or (ii) be removed as DIP Agent by all of the DIP Lenders and the Borrowers upon 30 days’ prior written notice if the DIP Agent is found by a court of competent jurisdiction in a final, non-appealable judgment to have committed gross negligence or willful misconduct in the course of performing its duties hereunder. Upon any such resignation or removal, the Required Lenders shall have the right to appoint a successor DIP Agent which appointment shall, provided no Default or Event of Default exists, be subject to the Borrowers’ approval, which approval shall not be unreasonably withheld or delayed (except that the Borrowers shall, in all events, be deemed to have approved each DIP Lender and any of its Affiliates as a successor DIP Agent). If no successor DIP Agent shall have been so appointed in accordance with the immediately preceding sentence, and shall have accepted such appointment, within 30 days after the current DIP Agent’s giving of notice of resignation or giving of notice of removal of the DIP Agent, then the current DIP Agent may, on behalf of the DIP Lenders, at its sole discretion (at the sole cost and expense of the Borrowers, including with respect to reasonable attorneys’ fees and expenses) apply to a court of competent jurisdiction to appoint a successor or for other appropriate relief, and any such resulting appointment or relief shall be binding upon all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DIP Agent shall notify the Borrowers and the DIP Lenders that the DIP Agent elects not to apply to a court for the appointment of a successor or other relief, then such resignation or removal shall nonetheless become effective in accordance with such notice and (1) the DIP Agent shall be discharged from its duties and obligations hereunder and under the other DIP Loan Documents and (2) all payments, communications and determinations provided to be made by, to or through the DIP Agent shall instead be made to each DIP Lender directly, until such time as a successor DIP Agent has been appointed as provided for above in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such DIP Lenders so acting directly shall be and be deemed to be protected by all indemnities and other provisions herein for the benefit and protection of the DIP Agent as if each such DIP Lender were itself the DIP Agent. Upon the acceptance of any appointment as DIP Agent hereunder by a successor DIP Agent, such successor DIP Agent shall thereupon succeed to and become vested with all the rights, powers, privileges and duties of the current DIP Agent, and the current DIP Agent shall be discharged from its duties and obligations under the DIP Loan Documents (unless earlier discharged in accordance with this Section 9). After any DIP Agent’s resignation hereunder as DIP Agent, the provisions of this Section 9 shall continue to inure to its benefit as to any actions taken or omitted to be taken by it while it was DIP Agent under the DIP Loan Documents. Notwithstanding anything contained herein to the contrary, the DIP Agent may assign its rights and duties under the DIP Loan Documents to any of its Affiliates by giving the Borrowers and each DIP Lender prior written notice.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0" w:name="page91"/>
    <w:bookmarkEnd w:id="90"/>
    <w:p>
      <w:pPr>
        <w:jc w:val="both"/>
        <w:ind w:firstLine="729"/>
        <w:spacing w:after="0" w:line="256" w:lineRule="auto"/>
        <w:rPr>
          <w:sz w:val="20"/>
          <w:szCs w:val="20"/>
          <w:color w:val="auto"/>
        </w:rPr>
      </w:pPr>
      <w:r>
        <w:rPr>
          <w:rFonts w:ascii="Times New Roman" w:cs="Times New Roman" w:eastAsia="Times New Roman" w:hAnsi="Times New Roman"/>
          <w:sz w:val="18"/>
          <w:szCs w:val="18"/>
          <w:color w:val="auto"/>
        </w:rPr>
        <w:t>The DIP Agent may merge or convert into, or consolidate with, another Person or sell or transfer all or substantially all of its corporate trust business, and any Person into which the DIP Agent may be merged or converted or with which it may be consolidated, or any Person resulting from any merger, conversion or consolidation to which the DIP Agent shall be a party, or any Person succeeding to all or substantially all of the corporate trust business of the DIP Agent shall be the successor of the DIP Agent under the DIP Loan Documents without the execution or filing of any paper or any further act on the part of any of the parties hereto, except where an instrument of transfer or assignment is required by law to effect such succession, anything herein to the contrary notwithstanding.</w:t>
      </w:r>
    </w:p>
    <w:p>
      <w:pPr>
        <w:spacing w:after="0" w:line="187" w:lineRule="exact"/>
        <w:rPr>
          <w:sz w:val="20"/>
          <w:szCs w:val="20"/>
          <w:color w:val="auto"/>
        </w:rPr>
      </w:pPr>
    </w:p>
    <w:p>
      <w:pPr>
        <w:ind w:left="920" w:hanging="264"/>
        <w:spacing w:after="0"/>
        <w:tabs>
          <w:tab w:leader="none" w:pos="9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300" w:firstLine="652"/>
        <w:spacing w:after="0" w:line="252" w:lineRule="auto"/>
        <w:tabs>
          <w:tab w:leader="none" w:pos="216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9(h)(iv), each DIP Lender hereby authorizes the DIP Agent (acting at the written direction of the Required Lenders), without the necessity of any notice to or further consent from any other DIP Lender, from time to time prior to an Event of Default, to (i) take any action with respect to any DIP Collateral or any DIP Loan Document which may be necessary to perfect and maintain perfected the Liens upon the DIP Collateral granted pursuant to any of the DIP Loan Documents and to enter into such security documents as may be necessary or desirable in connection therewith from time to time and (ii) to consent to the granting by any of the Borrowers or any Subsidiary of the Borrowers of easements, restrictions, covenants, reservations, rights of way and other Liens in the ordinary course of business (or otherwise in connection with a condemnation proceeding), including, without limitation, for use, access, water and sewer liens, telephone and telegraph lines, gas or electric lines, telecommunications leases and other utilities, provided that no such grant, conveyance or encumbrance shall materially impair the utility and operation of the business of the Borrowers and its Subsidiaries or result in a Material Adverse Effect. The DIP Agent shall not have any obligation whatsoever to any DIP Lender or to any other person to assure that the DIP Collateral exists or is owned (whether in fee or by leasehold) by the person purporting to own it or is cared for, protected, or insured or has been encumbered or that the Liens granted to the DIP Agent pursuant to the DIP Loan Documents have been properly or sufficiently or lawfully created, perfected, protected or enforced, or are entitled to any particular priority, or to exercise at all or in any particular manner or under any duty of care, disclosure or fidelity, or to continue exercising, any of the rights granted or available to the DIP Agent in any of the DIP Loan Documents.</w:t>
      </w:r>
    </w:p>
    <w:p>
      <w:pPr>
        <w:spacing w:after="0" w:line="19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23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Lenders hereby authorize the DIP Agent (at the written direction of the Required Lenders)to release any Lien granted to or held by the DIP Agent upon any DIP Collateral (x) upon termination of the applicable Commitments and indefeasible payment and satisfaction in full of all of the respective Obligations, (y) as expressly permitted by, but only in accordance with, the terms of the applicable DIP Loan Document, and (z) if approved, authorized or ratified in writing by the Required Lenders (or such greater number of DIP Lenders as this Agreement or any other DIP Loan Document may expressly provide). Notwithstanding anything to the contrary herein, upon request by the DIP Agent at any time, the Required Lenders will confirm in writing the DIP Agent’s authority to release particular types or items of DIP Collateral pursuant to this Section 9(h).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1" w:name="page92"/>
    <w:bookmarkEnd w:id="91"/>
    <w:p>
      <w:pPr>
        <w:jc w:val="both"/>
        <w:ind w:left="180" w:firstLine="652"/>
        <w:spacing w:after="0" w:line="253" w:lineRule="auto"/>
        <w:tabs>
          <w:tab w:leader="none" w:pos="116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any sale and transfer of DIP Collateral which is expressly permitted pursuant to the terms of this Agreement, and upon at least five (5) Business Days’ prior written request by the Borrowers, the DIP Agent (at the written direction of the Required Lenders) shall (and is hereby irrevocably authorized by the DIP Lenders to) execute such documents as may be reasonably requested by the Borrowers to evidence the release of the Liens granted to the DIP Agent for the benefit of the Secured Parties upon the Collateral that was sold or transferred;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(x) the DIP Agent shall not be required to execute any such document on terms which, in the DIP Agent’s opinion, would expose the DIP Agent to liability or create any obligation or entail any consequence other than the release of such Liens and such releases shall be given without recourse to or representation or warranty by the DIP Agent, and (y) such release shall not in any manner discharge, affect or impair the Obligations or any Liens upon (or obligations of the Borrowers or any other Loan Party in respect of) all interests retained by the Borrowers or any other Loan Party, including, without limitation, the proceeds of such sale or transfer, all of which shall continue to constitute part of the DIP Collateral. In the event of any sale or transfer of DIP Collateral, or any foreclosure or deed in lieu thereof with respect to any of the DIP Collateral, the DIP Agent shall be authorized to deduct all of the expenses reasonably incurred by the DIP Agent from the proceeds of any such sale, transfer or foreclosure.</w:t>
      </w:r>
    </w:p>
    <w:p>
      <w:pPr>
        <w:spacing w:after="0" w:line="189"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141"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the DIP Loan Documents or otherwise to the contrary, the DIP Agent shall have no obligation whatsoever to any DIP Lender or to any other Person to (w) file or prepare any financing or continuation statements or record any documents or instruments in any public office for purposes of creating, perfecting or maintaining any Lien or security interest created under the DIP Loan Documents, or (x) take any steps to preserve rights against any parties with respect to any DIP Collateral, (y) take any action to protect against any diminution in value of the DIP Collateral, or (z) assure that the DIP Collateral exists or is owned by the Borrowers, any other Loan Party or any other Subsidiary of the Borrowers or is cared for, protected or insured, or that the Liens granted to the DIP Agent herein or pursuant hereto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the DIP Agent in this Section 9 or in any of the DIP Loan Documents.</w:t>
      </w:r>
    </w:p>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92" w:name="page93"/>
    <w:bookmarkEnd w:id="92"/>
    <w:p>
      <w:pPr>
        <w:ind w:left="224" w:hanging="224"/>
        <w:spacing w:after="0"/>
        <w:tabs>
          <w:tab w:leader="none" w:pos="224"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4" w:firstLine="618"/>
        <w:spacing w:after="0" w:line="258" w:lineRule="auto"/>
        <w:rPr>
          <w:sz w:val="20"/>
          <w:szCs w:val="20"/>
          <w:color w:val="auto"/>
        </w:rPr>
      </w:pPr>
      <w:r>
        <w:rPr>
          <w:rFonts w:ascii="Times New Roman" w:cs="Times New Roman" w:eastAsia="Times New Roman" w:hAnsi="Times New Roman"/>
          <w:sz w:val="18"/>
          <w:szCs w:val="18"/>
          <w:color w:val="auto"/>
        </w:rPr>
        <w:t>Each DIP Lender agrees that it will not take any action, nor institute any actions or proceedings, against the Borrower or any of its Subsidiaries under the DIP Loan Documents with respect to exercising claims against or rights in the DIP Collateral without the written consent of the Required Lenders. For purposes of this Section 9, the term “DIP Lender” includes any Person that is or at any time has been a DIP Lender and the terms and conditions of this provision shall be binding upon such Person at all times and expressly survive any assignment of the Commitment of such Person in whole or in part.</w:t>
      </w:r>
    </w:p>
    <w:p>
      <w:pPr>
        <w:spacing w:after="0" w:line="183" w:lineRule="exact"/>
        <w:rPr>
          <w:sz w:val="20"/>
          <w:szCs w:val="20"/>
          <w:color w:val="auto"/>
        </w:rPr>
      </w:pPr>
    </w:p>
    <w:p>
      <w:pPr>
        <w:ind w:left="224" w:hanging="224"/>
        <w:spacing w:after="0"/>
        <w:tabs>
          <w:tab w:leader="none" w:pos="22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52" w:lineRule="auto"/>
        <w:tabs>
          <w:tab w:leader="none" w:pos="1514"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DIP Lender and each other Secured Party hereby severally agrees that if (1) the DIP Agent notifies (which such notice shall be conclusive absent manifest error) such Lender or any other Secured Party (or the lender Affiliate of a Secured Party) or any other Person that has received funds from the DIP Agent or any of its Affiliates, either for its own account or on behalf of a DIP Lender or other Secured Party (each such recipient,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that the DIP Agent has determined in its sole discretion that any funds received by such Payment Recipient were erroneously transmitted to, or otherwise erroneously or mistakenly received by, such Payment Recipient (whether or not known to such Payment Recipient) or (2) any Payment Recipient receives any payment from the DIP Agent (or any of its Affiliates) (x) that is in a different amount than, or on a different date from, that specified in a notice of payment or repayment sent by the DIP Agent (or any of its Affiliates) with respect to such payment or repayment, as applicable, (y) that was not preceded or accompanied by a notice of payment or repayment sent by the DIP Agent (or any of its Affiliates) with respect to such payment or repayment, as applicable, or (z) that such Payment Recipient otherwise becomes aware was transmitted or received in error or by mistake (in whole or in part) then, in each case, an error in payment shall be presumed to have been made (any such amounts specified in clauses</w:t>
      </w:r>
    </w:p>
    <w:p>
      <w:pPr>
        <w:spacing w:after="0" w:line="3" w:lineRule="exact"/>
        <w:rPr>
          <w:rFonts w:ascii="Times New Roman" w:cs="Times New Roman" w:eastAsia="Times New Roman" w:hAnsi="Times New Roman"/>
          <w:sz w:val="18"/>
          <w:szCs w:val="18"/>
          <w:color w:val="auto"/>
        </w:rPr>
      </w:pPr>
    </w:p>
    <w:p>
      <w:pPr>
        <w:jc w:val="both"/>
        <w:ind w:left="644" w:firstLine="4"/>
        <w:spacing w:after="0" w:line="252" w:lineRule="auto"/>
        <w:tabs>
          <w:tab w:leader="none" w:pos="93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(2) of this Section 9(j)(i), whether received as a 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9 shall require the DIP Agent to provide any of the notices specified in clauses (1) or (2) above. Each Payment Recipient agrees that it shall not assert any right or claim to any Erroneous Payment, and hereby waives any claim, counterclaim, defense or right of set-off or recoupment with respect to any demand, claim or counterclaim by the DIP Agent for the return of any Erroneous Payments, including without limitation waiver of any defense based on “discharge for value” or any similar doctrine.</w:t>
      </w:r>
    </w:p>
    <w:p>
      <w:pPr>
        <w:spacing w:after="0" w:line="188" w:lineRule="exact"/>
        <w:rPr>
          <w:rFonts w:ascii="Times New Roman" w:cs="Times New Roman" w:eastAsia="Times New Roman" w:hAnsi="Times New Roman"/>
          <w:sz w:val="18"/>
          <w:szCs w:val="18"/>
          <w:color w:val="auto"/>
        </w:rPr>
      </w:pPr>
    </w:p>
    <w:p>
      <w:pPr>
        <w:ind w:left="644" w:right="20" w:firstLine="652"/>
        <w:spacing w:after="0" w:line="282" w:lineRule="auto"/>
        <w:tabs>
          <w:tab w:leader="none" w:pos="1554"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immediately preceding clause (i), each Payment Recipient agrees that, in the case of clause (i)(2) above, it shall promptly notify the DIP Agent in writing of such occurrence.</w:t>
      </w:r>
    </w:p>
    <w:p>
      <w:pPr>
        <w:spacing w:after="0" w:line="16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93" w:name="page94"/>
    <w:bookmarkEnd w:id="93"/>
    <w:p>
      <w:pPr>
        <w:jc w:val="both"/>
        <w:ind w:left="180" w:firstLine="652"/>
        <w:spacing w:after="0" w:line="254" w:lineRule="auto"/>
        <w:tabs>
          <w:tab w:leader="none" w:pos="115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either clause (i)(1) or (i)(2) above, such Erroneous Payment shall at all times remain the property of the DIP Agent and shall be held in trust for the benefit of the DIP Agent, and upon demand from the DIP Agent such Payment Recipient shall (or, shall cause any Person who received any portion of an Erroneous Payment on its behalf to), promptly, but in all events no later than two Business Days thereafter, return to the DIP Agent the amount of any such Erroneous Payment (or portion thereof) as to which such a demand was made in same day funds and in the currency so received, together with interest thereon (unless waived by the DIP Agent) in respect of each day from and including the date such Erroneous Payment (or portion thereof) was received by such Payment Recipient to the date such amount is repaid to the DIP Agent at an overnight rate determined by the DIP Agent to be customary in the place of disbursement or payment for the settlement of international banking transactions.</w:t>
      </w:r>
    </w:p>
    <w:p>
      <w:pPr>
        <w:spacing w:after="0" w:line="191" w:lineRule="exact"/>
        <w:rPr>
          <w:rFonts w:ascii="Times New Roman" w:cs="Times New Roman" w:eastAsia="Times New Roman" w:hAnsi="Times New Roman"/>
          <w:sz w:val="18"/>
          <w:szCs w:val="18"/>
          <w:color w:val="auto"/>
        </w:rPr>
      </w:pPr>
    </w:p>
    <w:p>
      <w:pPr>
        <w:jc w:val="both"/>
        <w:ind w:left="180" w:firstLine="652"/>
        <w:spacing w:after="0" w:line="252" w:lineRule="auto"/>
        <w:tabs>
          <w:tab w:leader="none" w:pos="113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 Erroneous Payment (or portion thereof) is not recovered by the DIP Agent for any reason, after demand therefor by the DIP Agent in accordance with immediately preceding clause (iii), from any DIP Lender that is a Payment Recipient or an Affiliate of a Payment Recipient (such unrecovered amount as to such DIP Lender,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then at the sole discretion of the DIP Agent and upon the DIP Agent’s written notice to such DIP Lender, such DIP Lender shall be deemed to have made a cashless assignment of the full face amount of the portion of its DIP Loans (but not its Commitments) in the amount of such portion to the DIP Agent or, at the option of the DIP Agent, the DIP Agent’s applicable lending Affiliate in an amount that is equal to the Erroneous Payment Return Deficiency (or such lesser amount as the DIP Agent may specify) (such assignment of the DIP Loans (but not Commitments), the “</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plus any accrued and unpaid interest on such assigned amount, without further consent or approval of any party hereto and without any payment by the DIP Agent or its applicable lending Affiliate as the assignee of such Erroneous Payment Deficiency Assignment. Without limitation of its rights hereunder, the DIP Agent may cancel any Erroneous Payment Deficiency Assignment at any time by written notice to the applicable assigning DIP Lender and upon such revocation all of the DIP Loans assigned pursuant to such Erroneous Payment Deficiency Assignment shall be reassigned to such DIP Lender without any requirement for payment or other consideration. The parties hereto acknowledge and agree that (1) any assignment contemplated in this clause (iv) shall be made without any requirement for any payment or other consideration paid by the applicable assignee or received by the assignor and (2) the provisions of this clause (iv) shall govern in the event of any conflict with the terms and conditions of Section 8(d).</w:t>
      </w:r>
    </w:p>
    <w:p>
      <w:pPr>
        <w:spacing w:after="0" w:line="194"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096"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hereby agrees that (x) in the event an Erroneous Payment (or portion thereof) is not recovered from any Payment Recipient that has received such Erroneous Payment (or portion thereof) for any reason, the DIP Agent (1) shall be subrogated to all the rights of such Payment Recipient with respect to such amount and (2) is authorized to set off, net and apply any and all amounts at any time owing to such Payment Recipient under any DIP Loan Document, or otherwise payable or distributable by the DIP Agent to such Payment Recipient from any source, against any amount due to the DIP Agent under this Section 9(j)(v) or under the indemnification provisions of this Agreement, (y) the receipt of an Erroneous Payment by a Payment Recipient shall not for the purpose of this Agreement be treated as a payment repayment, discharge or other satisfaction of any Obligations owed by the Borrowers or any other Loan Party,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 except, in each case of clauses (y) and (z), to the extent such Erroneous Payment is, and solely with respect to the amount of such Erroneous Payment that is, comprised of funds received by the DIP Agent from the Borrowers or any other Loan Party for the purpose of making a payment on the Obligations.</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94" w:name="page95"/>
    <w:bookmarkEnd w:id="94"/>
    <w:p>
      <w:pPr>
        <w:jc w:val="both"/>
        <w:ind w:left="644" w:firstLine="652"/>
        <w:spacing w:after="0" w:line="266" w:lineRule="auto"/>
        <w:tabs>
          <w:tab w:leader="none" w:pos="159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obligations under this Section 9(j) shall survive the resignation or replacement of the DIP Agent or any transfer of right or obligations by, or the replacement of, a DIP Lender, the termination of the Commitments or the repayment, satisfaction or discharge of all Obligations (or any portion thereof) under any DIP Loan Document.</w:t>
      </w:r>
    </w:p>
    <w:p>
      <w:pPr>
        <w:spacing w:after="0" w:line="175" w:lineRule="exact"/>
        <w:rPr>
          <w:rFonts w:ascii="Times New Roman" w:cs="Times New Roman" w:eastAsia="Times New Roman" w:hAnsi="Times New Roman"/>
          <w:sz w:val="18"/>
          <w:szCs w:val="18"/>
          <w:color w:val="auto"/>
        </w:rPr>
      </w:pPr>
    </w:p>
    <w:p>
      <w:pPr>
        <w:ind w:left="644" w:firstLine="652"/>
        <w:spacing w:after="0" w:line="282" w:lineRule="auto"/>
        <w:tabs>
          <w:tab w:leader="none" w:pos="167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9(j) will constitute a waiver or release of any claim of any party hereunder arising from any Payment Recipient’s receipt of an Erroneous Payment.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of DIP Agent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4" w:firstLine="652"/>
        <w:spacing w:after="0" w:line="252" w:lineRule="auto"/>
        <w:tabs>
          <w:tab w:leader="none" w:pos="1518"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the DIP Loan Documents, the DIP Agent shall not be liable for any action taken or not taken by it (i) with the consent or at the request or direction of the Required Lenders (or such other number or percentage of the Lenders as shall be necessary, or as the Agent shall believe in good faith shall be necessary, under the circumstances), or (ii) in the absence of its own gross negligence or willful misconduct as determined by a court of competent jurisdiction by final and non-appealable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action taken or not taken by the DIP Agent at the direction of the Required Lenders (or such other number or percentage of DIP Lenders as is required hereunder) shall be considered gross negligence or willful misconduct of the DIP Agent. The DIP Agent shall not be responsible in any manner for any recital, statement, representation or warranty made by the Borrowers or any officer thereof, contained herein or in any other DIP Loan Document, or in any certificate, report, statement or other document referred to or provided for in, or received by the DIP Agent under or in connection with, this Agreement or any other DIP Loan Document, or the validity, effectiveness, genuineness, enforceability or sufficiency of this Agreement or any other DIP Loan Document, or for the creation, perfection or priority of any Liens purported to be created by any of the DIP Loan Documents, or the validity, genuineness, enforceability, existence, value or sufficiency of any DIP Collateral, or to make any inquiry respecting the performance by the Borrowers of its obligations hereunder or under any other DIP Loan Document, or for any failure of the Borrowers or any other party to any DIP Loan Document to perform its obligations hereunder or thereunder.</w:t>
      </w:r>
    </w:p>
    <w:p>
      <w:pPr>
        <w:spacing w:after="0" w:line="19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95" w:name="page96"/>
    <w:bookmarkEnd w:id="95"/>
    <w:p>
      <w:pPr>
        <w:jc w:val="both"/>
        <w:ind w:left="180" w:firstLine="652"/>
        <w:spacing w:after="0" w:line="261" w:lineRule="auto"/>
        <w:tabs>
          <w:tab w:leader="none" w:pos="111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Agent shall not be required to use, risk or advance its own funds or otherwise incur financial liability in the performance of any of its duties or the exercise of any of its rights and powers hereunder. In no event shall the DIP Agent be liable, directly or indirectly, for any special, indirect, punitive or consequential loss or damages of any kind whatsoever (including without limitation, lost profits), even if the DIP Agent has been advised of the possibility of such damages and regardless of the form of action.</w:t>
      </w:r>
    </w:p>
    <w:p>
      <w:pPr>
        <w:spacing w:after="0" w:line="179" w:lineRule="exact"/>
        <w:rPr>
          <w:rFonts w:ascii="Times New Roman" w:cs="Times New Roman" w:eastAsia="Times New Roman" w:hAnsi="Times New Roman"/>
          <w:sz w:val="18"/>
          <w:szCs w:val="18"/>
          <w:color w:val="auto"/>
        </w:rPr>
      </w:pPr>
    </w:p>
    <w:p>
      <w:pPr>
        <w:jc w:val="both"/>
        <w:ind w:left="180" w:firstLine="652"/>
        <w:spacing w:after="0" w:line="256" w:lineRule="auto"/>
        <w:tabs>
          <w:tab w:leader="none" w:pos="1157"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Agent shall not be subject to any fiduciary or other implied duties, regardless of whether a Default or Event of Default has occurred and is continuing. The DIP Agent shall not be required to take any action that, in its opinion or the opinion of its counsel, may expose the DIP Agent to liability or that is contrary to any DIP Loan Document or applicable law. The DIP Agent shall have no liability for any action taken, or errors in judgment made, in the absence of bad faith or willful misconduct (as determined by a court of competent jurisdiction in a final and non-appealable judgment) by it or any of its officers, employees or agents, unless it shall have been negligent in ascertaining the pertinent facts.</w:t>
      </w:r>
    </w:p>
    <w:p>
      <w:pPr>
        <w:spacing w:after="0" w:line="187" w:lineRule="exact"/>
        <w:rPr>
          <w:rFonts w:ascii="Times New Roman" w:cs="Times New Roman" w:eastAsia="Times New Roman" w:hAnsi="Times New Roman"/>
          <w:sz w:val="18"/>
          <w:szCs w:val="18"/>
          <w:color w:val="auto"/>
        </w:rPr>
      </w:pPr>
    </w:p>
    <w:p>
      <w:pPr>
        <w:jc w:val="both"/>
        <w:ind w:left="180" w:firstLine="652"/>
        <w:spacing w:after="0" w:line="255" w:lineRule="auto"/>
        <w:tabs>
          <w:tab w:leader="none" w:pos="113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DIP Agent nor any of its directors, officers, employees, agents or Affiliates shall be responsible for nor have any duty to monitor the performance or any action of the Borrowers, or any of their directors, members, officers, agents, Affiliates or employees, nor shall it have any liability in connection with the malfeasance or nonfeasance by such parties. The DIP Agent may assume performance by all such persons of their respective obligations. Further, in determining compliance with any condition hereunder to the making of a Loan that by its terms must be fulfilled to the satisfaction of a DIP Lender, the DIP Agent may presume that such condition is satisfactory to such DIP Lender unless the DIP Agent shall have received written notice to the contrary from such DIP Lender prior to the making of such Loan.</w:t>
      </w:r>
    </w:p>
    <w:p>
      <w:pPr>
        <w:spacing w:after="0" w:line="188" w:lineRule="exact"/>
        <w:rPr>
          <w:rFonts w:ascii="Times New Roman" w:cs="Times New Roman" w:eastAsia="Times New Roman" w:hAnsi="Times New Roman"/>
          <w:sz w:val="18"/>
          <w:szCs w:val="18"/>
          <w:color w:val="auto"/>
        </w:rPr>
      </w:pPr>
    </w:p>
    <w:p>
      <w:pPr>
        <w:jc w:val="both"/>
        <w:ind w:left="180" w:firstLine="652"/>
        <w:spacing w:after="0" w:line="253" w:lineRule="auto"/>
        <w:tabs>
          <w:tab w:leader="none" w:pos="109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DIP Agent shall not be responsible or liable for any failure or delay in the performance of its obligations under this Agreement arising out of or caused, directly or indirectly, by circumstances beyond its control, including any act or provision of any present or future law or regulation or governmental authority; acts of god; earthquakes; fires; floods; wars; terrorism; civil or military disturbances; sabotage; epidemics; pandemics; riots; interruptions, loss or malfunctions of utilities, computer (hardware or software) or communications service; accidents; labor disputes; acts of civil or military authority or governmental actions; or the unavailability of the federal reserve bank wire or telex or other wire or communication facility. The DIP Agent shall have the right to, unilaterally and without prior notice, remove itself or not comply with any obligation that would reasonably be expected to result in violation of applicable sanctions, embargo and any similar laws (collectively, “</w:t>
      </w:r>
      <w:r>
        <w:rPr>
          <w:rFonts w:ascii="Times New Roman" w:cs="Times New Roman" w:eastAsia="Times New Roman" w:hAnsi="Times New Roman"/>
          <w:sz w:val="18"/>
          <w:szCs w:val="18"/>
          <w:u w:val="single" w:color="auto"/>
          <w:color w:val="auto"/>
        </w:rPr>
        <w:t>Embargo Rules</w:t>
      </w:r>
      <w:r>
        <w:rPr>
          <w:rFonts w:ascii="Times New Roman" w:cs="Times New Roman" w:eastAsia="Times New Roman" w:hAnsi="Times New Roman"/>
          <w:sz w:val="18"/>
          <w:szCs w:val="18"/>
          <w:color w:val="auto"/>
        </w:rPr>
        <w:t>”). The parties hereto expressly agree that the DIP Agent shall not be liable for not performing and/or delaying the receipt or the payment of any amount solely due to the DIP Agent’s compliance actions as required by with Embargo Rules.</w:t>
      </w:r>
    </w:p>
    <w:p>
      <w:pPr>
        <w:spacing w:after="0" w:line="19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96" w:name="page97"/>
    <w:bookmarkEnd w:id="96"/>
    <w:p>
      <w:pPr>
        <w:jc w:val="both"/>
        <w:ind w:left="1300" w:firstLine="652"/>
        <w:spacing w:after="0" w:line="256" w:lineRule="auto"/>
        <w:tabs>
          <w:tab w:leader="none" w:pos="225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any other DIP Loan Document to the contrary, the DIP Agent shall have no obligation to file or record any financing statements, notices, instruments, documents, consents or other papers as shall be necessary to (i) create, preserve, perfect or validate any security interest granted to the DIP Agent pursuant to any DIP Loan Document or (ii) enable the Agent to exercise and enforce its rights under any DIP Loan Document. In addition, the Agent shall have no responsibility or liability (i) in connection with the acts or omissions of any person in respect of the foregoing or (ii) for or with respect to the legality, validity and enforceability of any security interest created in the DIP Collateral or the perfection and priority of such security interest.</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31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reference is made in this Agreement or any other DIP Loan Document to any discretionary action by, consent, designation, specification, requirement or approval of, notice, request or other communication from, or other direction given or action to be undertaken or to be (or not to be) suffered or omitted to be taken by the DIP Agent or to any election, decision, opinion, acceptance, use of judgment, expression of satisfaction or other exercise of discretion, rights or remedies to be made (or not to be made) by the DIP Agent (except for the DIP Agent’s ability to enter into any amendment to the Agent Fee Letter or any other DIP Loan Document to which it is a party when such amendment affects the rights and obligations of the DIP Agent, each of which shall be made in the DIP Agent’s sole discretion), it is understood that in all cases that the DIP Agent shall not have any duty to act, and shall be fully justified in failing or refusing to take any such action, if it has not received written direction, advice or concurrence from the Required Lenders (or such other number or percentage of DIP Lenders as is required hereof) in respect of such action.</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887"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applicable law, the DIP Agent shall maintain the confidentiality of all Information (as defined below) in accordance with its customary procedure for handling confidential information of this nature for other customers in similar transactions but in any event may make disclosure: (a) to its Affiliates and to its and its Affiliates’ other respective Related Parties (it being understood that the Persons to whom such disclosure is made will be informed of the confidential nature of such Information and instructed to keep such Information confidential); (b) as required or requested by any Governmental Authority or representative thereof or pursuant to legal process or in connection with any legal proceedings, or as otherwise required by applicable law; (c) to the DIP Agent’s independent auditors and other professional advisors (provided they shall be notified of the confidential nature of the information); (d) to the extent such Information becomes publicly available other than as a result of a breach of this Section actually known by the DIP Agent to be a breach of this Section; (e) to the extent requested by, or required to be disclosed to, any nationally recognized rating agency or regulatory or similar authority having jurisdiction over it. Notwithstanding the foregoing, the DIP Agent may disclose any such confidential information, without notice to any other party, to Governmental Authorities in connection with any regulatory examination of the DIP Agent or in accordance with the regulatory compliance policy of the DIP Agent. As used in this Section, the term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means all information received from any DIP Lender, other than any such information that is available to the DIP Agent on a nonconfidential basis prior to disclosure by the DIP Lender, provided that, in the case of any such information received from the DIP Lender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the confidential information of other customers in similar transactions.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Collateral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656"/>
        <w:spacing w:after="0" w:line="254" w:lineRule="auto"/>
        <w:tabs>
          <w:tab w:leader="none" w:pos="90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Subject to the entry and the terms of the DIP Order and subject further to Section 2(f)(ii) and Section 2(n), the Obligations shall be and hereby are secured by valid, enforceable, perfected and non-avoidable Liens in and to the DIP Collateral (any and all such charges, liens and security interests contemplated by the foregoing, collectively, the “</w:t>
      </w:r>
      <w:r>
        <w:rPr>
          <w:rFonts w:ascii="Times New Roman" w:cs="Times New Roman" w:eastAsia="Times New Roman" w:hAnsi="Times New Roman"/>
          <w:sz w:val="18"/>
          <w:szCs w:val="18"/>
          <w:u w:val="single" w:color="auto"/>
          <w:color w:val="auto"/>
        </w:rPr>
        <w:t>DIP Liens</w:t>
      </w:r>
      <w:r>
        <w:rPr>
          <w:rFonts w:ascii="Times New Roman" w:cs="Times New Roman" w:eastAsia="Times New Roman" w:hAnsi="Times New Roman"/>
          <w:sz w:val="18"/>
          <w:szCs w:val="18"/>
          <w:color w:val="auto"/>
        </w:rPr>
        <w:t>”), which DIP Liens shall be automatically perfected upon the entry of the Interim DIP Order without the need for any further action by the DIP Lenders, the DIP Agent, any other Secured Party or the Borrowers, including the filing of any financing statements or the recording of any mortgages. Such DIP Liens shall be granted pursuant to sections 364(c)(2), (c)(3) and (d)(1) of the Bankruptcy Code, as applicable, and shall have the priority as set forth in the DIP Order (and shall in no event be deemed to result in a breach, Default or Event of Default hereunder or under any other Loan Document). For the avoidance of doubt, no Excluded Asset will be secured or perfected by the DIP Liens.</w:t>
      </w:r>
    </w:p>
    <w:p>
      <w:pPr>
        <w:spacing w:after="0" w:line="191" w:lineRule="exact"/>
        <w:rPr>
          <w:rFonts w:ascii="Times New Roman" w:cs="Times New Roman" w:eastAsia="Times New Roman" w:hAnsi="Times New Roman"/>
          <w:sz w:val="18"/>
          <w:szCs w:val="18"/>
          <w:color w:val="auto"/>
        </w:rPr>
      </w:pPr>
    </w:p>
    <w:p>
      <w:pPr>
        <w:jc w:val="both"/>
        <w:ind w:firstLine="656"/>
        <w:spacing w:after="0" w:line="252" w:lineRule="auto"/>
        <w:tabs>
          <w:tab w:leader="none" w:pos="91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UCC Financing Statements; DIP Order</w:t>
      </w:r>
      <w:r>
        <w:rPr>
          <w:rFonts w:ascii="Times New Roman" w:cs="Times New Roman" w:eastAsia="Times New Roman" w:hAnsi="Times New Roman"/>
          <w:sz w:val="18"/>
          <w:szCs w:val="18"/>
          <w:color w:val="auto"/>
        </w:rPr>
        <w:t>. Subject to Section 9(h)(iv), each Loan Party authorizes the Required Lenders to file, transmit or communicate, as applicable, from time to time, UCC financing statements, along with amendments and modifications thereto, in all filing offices selected by the Required Lenders, listing such Loan Party as the Debtor and the DIP Agent as the Secured Party, and describing the collateral covered thereby in such manner as the Required Lenders may elect, including using descriptions such as “all personal property of debtor” or “all assets of debtor,” or words of similar effect, in each case without such Loan Party’s signature. Each Loan Party also hereby ratifies its authorization for the Required Lenders to have filed, in any filing office, any UCC financing statements filed prior to the date hereof. This Agreement, the DIP Order and such other DIP Loan Documents supplement each other, and the grants, priorities, rights and remedies of the DIP Agent hereunder and thereunder are cumulative. Notwithstanding anything to the contrary in this Agreement or any other DIP Loan Document, (x) the security interest hereunder shall be deemed to be a valid, binding, continuing, enforceable and fully perfected Lien on the DIP Collateral by entry of any DIP Order and (y) neither the DIP Agent nor any other Secured Party shall be required to file any UCC financing statements, notices of Liens or similar instruments in any jurisdiction or filing office or to take any other action in order to validate or perfect the Liens and security interests granted by or pursuant to this Agreement, the DIP Order or any other DIP Loan Document. The security interest, the priority of the security interest, and the other rights and remedies granted to the Secured Parties pursuant to this Agreement, the DIP Order and the other DIP Loan Documents (specifically including but not limited to the existence, validity, enforceability, extent, perfection and priority of the security interest) and the administrative superpriority provided herein and therein shall not be modified, altered or impaired in any manner by any other financing or extension of credit or incurrence of debt by any Loan Party (pursuant to section 364 of the Bankruptcy Code or otherwise), or by any dismissal or conversion of the Bankruptcy Cases, or by any other act or omission whatsoever.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8" w:name="page99"/>
    <w:bookmarkEnd w:id="98"/>
    <w:p>
      <w:pPr>
        <w:jc w:val="both"/>
        <w:ind w:firstLine="656"/>
        <w:spacing w:after="0" w:line="261" w:lineRule="auto"/>
        <w:tabs>
          <w:tab w:leader="none" w:pos="89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Limitations</w:t>
      </w:r>
      <w:r>
        <w:rPr>
          <w:rFonts w:ascii="Times New Roman" w:cs="Times New Roman" w:eastAsia="Times New Roman" w:hAnsi="Times New Roman"/>
          <w:sz w:val="18"/>
          <w:szCs w:val="18"/>
          <w:color w:val="auto"/>
        </w:rPr>
        <w:t>. Notwithstanding the foregoing, neither the DIP Agent nor Borrower and its Subsidiaries shall in any event be required to maintain or perfect the DIP Agent’s security interest in the Collateral by: (i) the filing of any intellectual property security agreements, (ii) entry into any landlord waiver, collateral access or similar agreements, (ii) except with respect to the Segregated Account, entry into any control agreements, or (iv) entry into any mortgages. In no event shall any perfection actions be required with respect to any Excluded Asset.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Without limiting any of the DIP Agent’s other rights under this Agreement or any other DIP Loan Document, each Loan Party hereby grants to the DIP Agent an irrevocable power of attorney, coupled with an interest, authorizing and permitting the DIP Agent (acting through any of its officers, employees, attorneys or agents), at the DIP Agent’s option but without obligation, with or without notice to such Loan Party, and at each Loan Party’s expense, to do any or all of the following, in such Loan Party’s name or otherwise, in each case at the written direction of the Required Lenders:</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3" w:lineRule="auto"/>
        <w:tabs>
          <w:tab w:leader="none" w:pos="2195"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an Event of Default has occurred and is continuing, (A) execute on behalf of such Loan Party any documents that the DIP Agent (at the written direction of the Required Lenders, in their sole discretion) may deem advisable in order to perfect, protect and maintain the DIP Agent’s security interests, and priority thereof, in the DIP Collateral and to fully consummate all the transactions contemplated by this Agreement and the other DIP Loan Documents (including such financing statements and continuation financing statements, and amendments or other modifications thereto, as the DIP Agent (at the written direction of the Required Lenders) shall deem necessary or appropriate), (B) endorse such Loan Party’s name on all checks and other forms of remittances received by the DIP Agent, (C) pay any sums required on account of such Loan Party’s taxes or to secure the release of any Liens therefor, (D) pay any amounts necessary to obtain, or maintain in effect, any of the insurance, (E) receive and otherwise take control in any manner of any cash or non-cash items of payment or proceeds of DIP Collateral, (F) receive, open and dispose of all mail addressed to such Loan Party at any post office box or lockbox maintained by the DIP Agent for such Loan Party or at any other business premises of the DIP Agent and (G) endorse or assign to the DIP Agent on such Loan Party’s behalf any portion of DIP Collateral evidenced by an agreement, Instrument or Document; and</w:t>
      </w:r>
    </w:p>
    <w:p>
      <w:pPr>
        <w:spacing w:after="0" w:line="189" w:lineRule="exact"/>
        <w:rPr>
          <w:rFonts w:ascii="Times New Roman" w:cs="Times New Roman" w:eastAsia="Times New Roman" w:hAnsi="Times New Roman"/>
          <w:sz w:val="18"/>
          <w:szCs w:val="18"/>
          <w:color w:val="auto"/>
        </w:rPr>
      </w:pPr>
    </w:p>
    <w:p>
      <w:pPr>
        <w:jc w:val="both"/>
        <w:ind w:left="1300" w:firstLine="652"/>
        <w:spacing w:after="0" w:line="252" w:lineRule="auto"/>
        <w:tabs>
          <w:tab w:leader="none" w:pos="2231"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occurrence and during the continuance of an Event of Default, (A) execute on behalf of such Loan Party any document exercising, transferring or assigning any option to purchase, sell or otherwise dispose of or lease (as lessor or lessee) any real or personal property which is part of the DIP Collateral or in which the DIP Agent has an interest, (B) execute on behalf of such Loan Party any invoices relating to any Accounts, any draft against any Account Debtor, any proof of claim in bankruptcy, any notice of Lien or claim, and any assignment or satisfaction of mechanic’s, materialman’s or other Lien, (C) execute on behalf of such Loan Party any notice to any Account Debtor, (D) pay, contest or settle any Lien, charge, encumbrance, security interest and adverse claim in or to any of the Collateral, or any judgment based thereon, or otherwise take any action to terminate or discharge the same, (E) grant extensions of time to pay, compromise claims relating to, and settle Accounts, Chattel Paper and General Intangibles for less than face value and execute all releases and other documents in connection therewith, (F) settle and adjust, and give releases of, any insurance claim that relates to any of the DIP Collateral and obtain payment therefor, (G) instruct any third party having custody or control of any DIP Collateral or books or records belonging to, or relating to, such Loan Party to give the DIP Agent the same rights of access and other rights with respect thereto as the DIP Agent has under this Agreement or any other DIP Loan Document, (H) change the address for delivery of such Loan Party’s mail, (I) vote any right or interest with respect to any Investment Property, and (J) instruct any Account Debtor to make all payments due to any Loan Party directly to the DIP Agent.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9" w:name="page100"/>
    <w:bookmarkEnd w:id="9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and all sums paid, and any and all costs, expenses, liabilities, obligations and reasonable attorneys’ fees (internal and external counsel) of the DIP Agent with respect to the foregoing shall be added to and become part of the Obligations, shall be payable on demand, and shall bear interest at a rate equal to the highest interest rate applicable to any of the Obligations. Each Loan Party agrees that the DIP Agent’s rights under the foregoing power of attorney and any of the DIP Agent’s other rights under this Agreement or the other DIP Loan Documents shall not be construed to indicate that the DIP Agent is in control of the business, management or properties of any Loan Party.</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Section 11. Remedies with Respect to Collateral</w:t>
      </w:r>
      <w:r>
        <w:rPr>
          <w:rFonts w:ascii="Times New Roman" w:cs="Times New Roman" w:eastAsia="Times New Roman" w:hAnsi="Times New Roman"/>
          <w:sz w:val="18"/>
          <w:szCs w:val="18"/>
          <w:color w:val="auto"/>
        </w:rPr>
        <w:t>. Subject to the DIP Order, without limiting any rights or remedies the DIP Agent may have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the other DIP Loan Documents, under applicable law or otherwise, upon the occurrence and during the continuation of an Event of Default, notwithstanding the provisions of section 362 of the Bankruptcy Code and without further order of the Bankruptcy Court:</w:t>
      </w:r>
    </w:p>
    <w:p>
      <w:pPr>
        <w:spacing w:after="0" w:line="175" w:lineRule="exact"/>
        <w:rPr>
          <w:sz w:val="20"/>
          <w:szCs w:val="20"/>
          <w:color w:val="auto"/>
        </w:rPr>
      </w:pPr>
    </w:p>
    <w:p>
      <w:pPr>
        <w:jc w:val="both"/>
        <w:ind w:firstLine="656"/>
        <w:spacing w:after="0" w:line="266" w:lineRule="auto"/>
        <w:tabs>
          <w:tab w:leader="none" w:pos="89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Any and All Remedies</w:t>
      </w:r>
      <w:r>
        <w:rPr>
          <w:rFonts w:ascii="Times New Roman" w:cs="Times New Roman" w:eastAsia="Times New Roman" w:hAnsi="Times New Roman"/>
          <w:sz w:val="18"/>
          <w:szCs w:val="18"/>
          <w:color w:val="auto"/>
        </w:rPr>
        <w:t>. The DIP Agent (at the written direction of the Required Lenders) may take any and all actions and avail itself of any and all rights and remedies available to the DIP Agent under this Agreement, the DIP Order, any other DIP Loan Document, under law or in equity, and the rights and remedies herein and therein provided shall be cumulative and not exclusive of any rights or remedies provided by applicable law or otherwise.</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Collections; Modifications of Terms</w:t>
      </w:r>
      <w:r>
        <w:rPr>
          <w:rFonts w:ascii="Times New Roman" w:cs="Times New Roman" w:eastAsia="Times New Roman" w:hAnsi="Times New Roman"/>
          <w:sz w:val="18"/>
          <w:szCs w:val="18"/>
          <w:color w:val="auto"/>
        </w:rPr>
        <w:t>. The DIP Agent (at the written direction of the Required Lenders) may, but shall be under no obligation</w:t>
      </w:r>
    </w:p>
    <w:p>
      <w:pPr>
        <w:spacing w:after="0" w:line="27"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 notify all appropriate parties that the DIP Collateral, or any part thereof, has been assigned to, or is subject to a security interest in favor of, the DIP Agent; (ii) demand, sue for, collect and give receipts for and take all necessary or desirable steps to collect any DIP Collateral or proceeds in its or any Loan Party’s name, and apply any such collections against the Obligations as provided in Section 6; (iii) take control of any DIP Collateral and any cash and non-cash proceeds of any DIP Collateral; (iv) enforce, compromise, extend, renew settle or discharge any rights or benefits of each Loan Party with respect to or in and to any DIP Collateral, or deal with the DIP Collateral as the DIP Agent (at the written direction of the Required Lenders) may deem advisable; and (v) make any compromises, exchanges, substitutions or surrenders of DIP Collateral the DIP Agent (at the written direction of the Required Lenders) deems necessary or proper in its reasonable determination, including extending the time of payment, permitting payment in installments, or otherwise modifying the terms or rights relating to any of the DIP Collateral, all of which may be effected without notice to, consent of, or any other action of any Loan Party and without otherwise discharging or affecting the Obligations, the DIP Collateral or the security interests granted to the DIP Agent under this Agreement, the DIP Order or any other DIP Loan Document.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0" w:name="page101"/>
    <w:bookmarkEnd w:id="100"/>
    <w:p>
      <w:pPr>
        <w:jc w:val="both"/>
        <w:ind w:firstLine="656"/>
        <w:spacing w:after="0" w:line="266" w:lineRule="auto"/>
        <w:tabs>
          <w:tab w:leader="none" w:pos="89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and Assembly of Collateral</w:t>
      </w:r>
      <w:r>
        <w:rPr>
          <w:rFonts w:ascii="Times New Roman" w:cs="Times New Roman" w:eastAsia="Times New Roman" w:hAnsi="Times New Roman"/>
          <w:sz w:val="18"/>
          <w:szCs w:val="18"/>
          <w:color w:val="auto"/>
        </w:rPr>
        <w:t>. The DIP Agent (at the written direction of the Required Lenders) may, but shall not be obligated to, take possession of the DIP Collateral and/or, without removal, render each Loan Party’s Equipment unusable. Upon the DIP Agent’s request, each Loan Party shall assemble the DIP Collateral and make it available to the DIP Agent at one or more places designated by the DIP Agent.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Each DIP Lender and its Affiliates may and, without any notice to, consent of or any other action by any Loan Party (such notice, consent or other action being expressly waived), set-off or apply (i) any and all deposits (general or special, time or demand, provisional or final) at any time held by or for the account of the DIP Lender or any Affiliate of the DIP Lender and (ii) any Indebtedness at any time owing by the DIP Lender or any Affiliate of the DIP Lender or any participant in the Loans, as the case may be, to or for the credit or the account of any Loan Party to the repayment of the Obligations, irrespective of whether any demand for payment of the Obligations has been made.</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89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Lease, etc. of Collateral</w:t>
      </w:r>
      <w:r>
        <w:rPr>
          <w:rFonts w:ascii="Times New Roman" w:cs="Times New Roman" w:eastAsia="Times New Roman" w:hAnsi="Times New Roman"/>
          <w:sz w:val="18"/>
          <w:szCs w:val="18"/>
          <w:color w:val="auto"/>
        </w:rPr>
        <w:t>. The DIP Agent (at the written direction of the Required Lenders) may, without demand, advertising or notice, all of which each Loan Party hereby waives (except as the same may be required by the UCC or other applicable law and is not waivable under the UCC or such other applicable law), at any time or times in one or more public or private sales or other dispositions, for cash, on credit or otherwise, at such prices and upon such terms as determined by the DIP Agent (at the written direction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price and terms are commercially reasonable within the meaning of the UCC to the extent such sale or other disposition is subject to the UCC requirements that such sale or other disposition must be commercially reasonable), (A) sell, lease, license or otherwise dispose of any and all DIP Collateral and/or (B) deliver and grant options to a third party to purchase, lease, license or otherwise dispose of any and all DIP Collateral. The DIP Agent (at the written direction of the Required Lenders) may sell, lease, license or otherwise dispose of any DIP Collateral in its then-present condition or following any preparation or processing deemed necessary by the Required Lenders in their reasonable discretion. The DIP Agent (at the written direction of the DIP Lenders) may be the purchaser at any such public or private sale or other disposition of DIP Collateral, and in such case the DIP Agent may make payment of all or any portion of the purchase price therefor by the application of all or any portion of the Obligations due to the Secured Parties to the purchase price payable in connection with such sale or disposition. The DIP Agent may (if directed in writing by the Required Lenders) postpone or adjourn any sale or other disposition of any DIP Collateral from time to time by an announcement at the time and place of the sale or disposition to be so postponed or adjourned without being required to give a new notice of sale or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DIP Agent shall provide the applicable Loan Party with ten (10) Business Days’ written notice of the time and place of such postponed or adjourned sale or disposition. Each Loan Party hereby acknowledges and agrees that the DIP Agent’s compliance with any requirements of applicable law in connection with a sale, lease, license or other disposition of DIP Collateral will not be considered to adversely affect the commercial reasonableness of any sale, lease, license or other disposition of such DIP Collateral.</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1" w:name="page102"/>
    <w:bookmarkEnd w:id="101"/>
    <w:p>
      <w:pPr>
        <w:ind w:firstLine="656"/>
        <w:spacing w:after="0" w:line="282" w:lineRule="auto"/>
        <w:tabs>
          <w:tab w:leader="none" w:pos="88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Deficiency</w:t>
      </w:r>
      <w:r>
        <w:rPr>
          <w:rFonts w:ascii="Times New Roman" w:cs="Times New Roman" w:eastAsia="Times New Roman" w:hAnsi="Times New Roman"/>
          <w:sz w:val="18"/>
          <w:szCs w:val="18"/>
          <w:color w:val="auto"/>
        </w:rPr>
        <w:t>. Each Loan Party shall remain liable for all amounts of the Obligations remaining unpaid as a result of any deficiency of the proceeds of the sale, lease, license or other disposition of DIP Collateral after such Proceeds are applied to the Obligations as provided in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Property; Voting and Other Rights</w:t>
      </w:r>
      <w:r>
        <w:rPr>
          <w:rFonts w:ascii="Times New Roman" w:cs="Times New Roman" w:eastAsia="Times New Roman" w:hAnsi="Times New Roman"/>
          <w:sz w:val="18"/>
          <w:szCs w:val="18"/>
          <w:color w:val="auto"/>
        </w:rPr>
        <w:t>. All rights of each Loan Party to exercise any of the voting and other consensual rights which it would otherwise be entitled to exercise in accordance with the terms hereof with respect to any Investment Property, and to receive any dividends, payments, and other distributions which it would otherwise be authorized to receive and retain in accordance with the terms hereof with respect to any Investment Property, shall immediately, at the election of DIP Agent (at the written direction of the Required Lenders and without requiring any notice) cease, and all such rights shall thereupon become vested solely in the DIP Agent, and the DIP Agent (at the written direction of the Required Lenders) shall thereupon be solely authorized and empowered, without notice, to (A) transfer and register in its name, or in the name of its nominee, the whole or any part of the Investment Property, it being acknowledged by each Loan Party that any such transfer and registration may be effected by the DIP Agent through its irrevocable appointment as attorney-in-fact pursuant to clause (h) below and Section 10(d) above, (B) exchange certificates or instruments representing or evidencing Investment Property for certificates or instruments of smaller or larger denominations, (C) exercise the voting and all other rights as a holder with respect to all or any portion of the Investment Property (including all economic rights, all control rights, authority and powers, and all status rights of each Loan Party as a member or as a shareholder (as applicable) of its Subsidiaries), (D) collect and receive all dividends and other payments and distributions made thereon, (E) notify the parties obligated on any Investment Property to make payment to the DIP Agent of any amounts due or to become due thereunder, (F) endorse instruments in the name of each Loan Party to allow collection of any Investment Property, (G) enforce collection of any of the Investment Property by suit or otherwise, and surrender, release, or exchange all or any part thereof, or compromise or renew for any period (whether or not longer than the original period) any liabilities of any nature of any Person with respect thereto, (H) consummate any sales of Investment Property or exercise any other rights as set forth herein, (I) otherwise act with respect to the Investment Property as though the DIP Agent was the outright owner thereof and (J) exercise any other rights or remedies the DIP Agent may have under the UCC, other applicable law or otherwise.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2" w:name="page103"/>
    <w:bookmarkEnd w:id="102"/>
    <w:p>
      <w:pPr>
        <w:jc w:val="both"/>
        <w:ind w:firstLine="656"/>
        <w:spacing w:after="0" w:line="268" w:lineRule="auto"/>
        <w:tabs>
          <w:tab w:leader="none" w:pos="903"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Irrevocable Proxy</w:t>
      </w:r>
      <w:r>
        <w:rPr>
          <w:rFonts w:ascii="Times New Roman" w:cs="Times New Roman" w:eastAsia="Times New Roman" w:hAnsi="Times New Roman"/>
          <w:sz w:val="17"/>
          <w:szCs w:val="17"/>
          <w:color w:val="auto"/>
        </w:rPr>
        <w:t>. EACH LOAN PARTY OBLIGOR HEREBY IRREVOCABLY CONSTITUTES AND APPOINTS THE DIP AGENT AS ITS PROXY AND ATTORNEY-IN-FACT FOR SUCH LOAN PARTY WITH RESPECT TO ALL OF EACH SUCH LOAN PARTY’S INVESTMENT PROPERTY WITH THE RIGHT, DURING THE CONTINUANCE OF AN EVENT OF DEFAULT, WITHOUT NOTICE, TO TAKE ANY OF THE FOLLOWING ACTIONS, AT THE WRITTEN DIRECTION OF THE REQUIRED LENDERS: (A) TRANSFER AND REGISTER IN THE DIP AGENT’S NAME, OR IN THE NAME OF ITS NOMINEE, THE WHOLE OR ANY PART OF THE INVESTMENT PROPERTY, (B) VOTE THE PLEDGED EQUITY, WITH FULL POWER OF SUBSTITUTION TO DO SO, (C) RECEIVE AND COLLECT ANY DIVIDEND OR ANY OTHER PAYMENT OR DISTRIBUTION IN RESPECT OF, OR IN EXCHANGE FOR, THE INVESTMENT PROPERTY OR ANY PORTION THEREOF, TO GIVE FULL DISCHARGE FOR THE SAME AND TO INDORSE ANY INSTRUMENT MADE PAYABLE TO ANY LOAN PARTY FOR THE SAME,</w:t>
      </w:r>
    </w:p>
    <w:p>
      <w:pPr>
        <w:jc w:val="both"/>
        <w:ind w:firstLine="8"/>
        <w:spacing w:after="0" w:line="265" w:lineRule="auto"/>
        <w:tabs>
          <w:tab w:leader="none" w:pos="327"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ALL OTHER RIGHTS, POWERS, PRIVILEGES, AND REMEDIES (INCLUDING ALL ECONOMIC RIGHTS, ALL CONTROL RIGHTS, AUTHORITY AND POWERS, AND ALL STATUS RIGHTS OF EACH LOAN PARTY AS A MEMBER OR AS A SHAREHOLDER (AS APPLICABLE) OF ITS SUBSIDIARY) TO WHICH A HOLDER OF THE EQUITY INTERESTS IN THE LOAN PARTY’S SUBSIDIARY WOULD BE ENTITLED (INCLUDING, WITH RESPECT TO THE EQUITY INTERESTS, GIVING OR WITHHOLDING WRITTEN CONSENTS OF MEMBERS OR SHAREHOLDERS, CALLING SPECIAL MEETINGS OF MEMBERS OR SHAREHOLDERS, AND VOTING AT SUCH MEETINGS), AND (E) TAKE ANY ACTION AND TO EXECUTE ANY INSTRUMENT WHICH THE DIP AGENT MAY DEEM NECESSARY OR ADVISABLE TO ACCOMPLISH THE PURPOSES OF THIS AGREEMENT. THE APPOINTMENT OF THE DIP AGENT AS PROXY AND ATTORNEY-IN-FACT IS COUPLED WITH AN INTEREST AND SHALL BE VALID AND IRREVOCABLE UNTIL (x) ALL OF THE OBLIGATIONS HAVE BEEN INDEFEASIBLY PAID IN FULL IN CASH IN ACCORDANCE WITH THE PROVISIONS OF THIS AGREEMENT, THE OTHER LOAN DOCUMENTS, (y) THE DIP AGENT HAVE NO FURTHER OBLIGATIONS UNDER THIS AGREEMENT, ANY OTHER LOAN DOCUMENT, AND</w:t>
      </w:r>
    </w:p>
    <w:p>
      <w:pPr>
        <w:spacing w:after="0" w:line="1" w:lineRule="exact"/>
        <w:rPr>
          <w:rFonts w:ascii="Times New Roman" w:cs="Times New Roman" w:eastAsia="Times New Roman" w:hAnsi="Times New Roman"/>
          <w:sz w:val="17"/>
          <w:szCs w:val="17"/>
          <w:color w:val="auto"/>
        </w:rPr>
      </w:pPr>
    </w:p>
    <w:p>
      <w:pPr>
        <w:jc w:val="both"/>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(z) THE COMMITMENTS UNDER THIS AGREEMENT HAVE EXPIRED OR HAVE BEEN TERMINATED (IT BEING UNDERSTOOD AND AGREED THAT SUCH OBLIGATIONS WILL BE AUTOMATICALLY REINSTATED IF AT ANY TIME PAYMENT, IN WHOLE OR IN PART, OF ANY OF THE OBLIGATIONS IS RESCINDED OR MUST OTHERWISE BE RESTORED OR RETURNED BY THE DIP AGENT FOR ANY REASON WHATSOEVER, INCLUDING AS A PREFERENCE, FRAUDULENT CONVEYANCE, OR OTHERWISE UNDER ANY BANKRUPTCY, INSOLVENCY, OR SIMILAR LAW, ALL AS THOUGH SUCH PAYMENT HAD NOT BEEN MADE; IT BEING FURTHER UNDERSTOOD THAT IN THE EVENT PAYMENT OF ALL OR ANY PART OF THE OBLIGATIONS IS RESCINDED OR MUST BE RESTORED OR RETURNED, ALL REASONABLE OUT-OF-POCKET COSTS AND EXPENSES (INCLUDING ALL REASONABLE INTERNAL AND EXTERNAL ATTORNEYS’ FEES AND DISBURSEMENTS) INCURRED BY THE DIP AGENT IN DEFENDING AND ENFORCING SUCH REINSTATEMENT SHALL HEREBY BE DEEMED TO BE INCLUDED AS A PART OF THE OBLIGATIONS). SUCH APPOINTMENT OF DIP AGENT AS PROXY AND AS ATTORNEY-IN-FACT SHALL BE VALID AND IRREVOCABLE AS PROVIDED HEREIN NOTWITHSTANDING ANY LIMITATIONS TO THE CONTRARY SET FORTH IN ANY GOVERNING DOCUMENTS OF ANY LOAN PARTY OR OTHERWISE.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3" w:name="page104"/>
    <w:bookmarkEnd w:id="103"/>
    <w:p>
      <w:pPr>
        <w:jc w:val="both"/>
        <w:ind w:firstLine="656"/>
        <w:spacing w:after="0" w:line="252" w:lineRule="auto"/>
        <w:tabs>
          <w:tab w:leader="none" w:pos="86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With respect to any disposition as to which the Securities Act or analogous state securities laws is applicable, each Loan Party hereby waives any objection to sale in a compliant manner, and agrees that the DIP Agent has no obligation to obtain the maximum possible price for the DIP Collateral so long as the DIP Agent (at the written direction of the Required Lenders) proceeds in a commercially reasonable manner. Without limiting the generality of the foregoing, each Loan Party agrees that in conducting a disposition of the DIP Collateral as to which the Securities Act or analogous state securities laws applies, the DIP Agent (at the written direction of the Required Lenders) may seek to sell the DIP Collateral by private placement, and may restrict bidders and prospective purchasers to those who are willing to represent that they are purchasing for investment only and not for distribution and who otherwise satisfy qualifications designed to ensure compliance with the Securities Act and analogous state securities laws. Each Loan Party acknowledges that in order to protect the DIP Agent’s interest, it may be necessary to sell the DIP Collateral at a price less than the maximum price attainable if a sale were delayed or were made in another manner, including, without limitation, a public offering under the Securities Act. In order to address these potential compliance requirements, the DIP Agent (at the written direction of the Required Lenders) may solicit offers to purchase the DIP Collateral from a limited number of bidders reasonably believed by the DIP Agent (at the written direction of the Required Lenders) to be institutional investors or accredited investors. If the DIP Agent solicits offers in a commercially reasonable manner, then acceptance by the DIP Agent of one or more of the offers shall be deemed to be a commercially reasonable method of disposition of the DIP Collateral and the DIP Agent will not be responsible or liable for selling all or any portion of the DIP Collateral at a price that the DIP Agent (at the written direction of the Required Lenders, acting in good faith) deems to be reasonable. The DIP Agent is under no obligation to delay a disposition of any portion of the DIP Collateral that are securities under the Securities Act or applicable “Blue Sky” or other state securities law for the period of time necessary to permit any Loan Party to register the securities for public sale under the Securities Act or under applicable “Blue Sky” or other state securities laws, even if a Loan Party agrees to do so. In addition, to the extent not prohibited by applicable law, each Loan Party waives any right to prior notice (except to the extent expressly provided in this Agreement) or judicial hearing in connection with the taking possession or the disposition of any of the DIP Collateral, including any right which Loan Party otherwise would have.</w:t>
      </w:r>
    </w:p>
    <w:p>
      <w:pPr>
        <w:spacing w:after="0" w:line="189" w:lineRule="exact"/>
        <w:rPr>
          <w:rFonts w:ascii="Times New Roman" w:cs="Times New Roman" w:eastAsia="Times New Roman" w:hAnsi="Times New Roman"/>
          <w:sz w:val="18"/>
          <w:szCs w:val="18"/>
          <w:color w:val="auto"/>
        </w:rPr>
      </w:pPr>
    </w:p>
    <w:p>
      <w:pPr>
        <w:jc w:val="both"/>
        <w:ind w:firstLine="656"/>
        <w:spacing w:after="0" w:line="255" w:lineRule="auto"/>
        <w:tabs>
          <w:tab w:leader="none" w:pos="87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Receiver of the DIP Agent</w:t>
      </w:r>
      <w:r>
        <w:rPr>
          <w:rFonts w:ascii="Times New Roman" w:cs="Times New Roman" w:eastAsia="Times New Roman" w:hAnsi="Times New Roman"/>
          <w:sz w:val="18"/>
          <w:szCs w:val="18"/>
          <w:color w:val="auto"/>
        </w:rPr>
        <w:t>. The DIP Agent, at its option, at the written direction of the Required Lenders, may obtain the appointment of a receiver to take possession of the Investment Property and, at the option of the DIP Agent, a receiver may be empowered (i) to collect, receive and enforce all distributions, (ii) to exercise the rights of the DIP Agent as provided in this Agreement, (iii) to collect all other amounts owed to any Loan Party in respect of the Investment Property as and when due to any Loan Party, (iv) to otherwise collect, sell or dispose of the Investment Property, (v) to exercise all rights in and under the Investment Property; and (vi) to turn over all net proceeds to the DIP Agent. Each Loan Party irrevocably and unconditionally agrees that a receiver may be appointed by a court to take the actions listed above without regard to the adequacy of the security for the Obligations, and the actions of the receiver may be taken in the name of the receiver, any Loan Party or the DIP Agent.</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Remedies</w:t>
      </w:r>
      <w:r>
        <w:rPr>
          <w:rFonts w:ascii="Times New Roman" w:cs="Times New Roman" w:eastAsia="Times New Roman" w:hAnsi="Times New Roman"/>
          <w:sz w:val="18"/>
          <w:szCs w:val="18"/>
          <w:color w:val="auto"/>
        </w:rPr>
        <w:t>. The DIP Agent (at the written direction of the Required Lenders) shall have the right to determine which rights, security, Liens or remedies the DIP Agent may at any time pursue, foreclose upon, relinquish, subordinate, modify or take any other action with respect to, without in any way impairing, modifying or affecting any of the DIP Agent’s other rights, security, Liens or remedies with respect to any DIP Collateral or any of the DIP Agent’s rights or remedies under this Agreement or any other DIP Loan Document.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6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Obligations</w:t>
      </w:r>
      <w:r>
        <w:rPr>
          <w:rFonts w:ascii="Times New Roman" w:cs="Times New Roman" w:eastAsia="Times New Roman" w:hAnsi="Times New Roman"/>
          <w:sz w:val="18"/>
          <w:szCs w:val="18"/>
          <w:color w:val="auto"/>
        </w:rPr>
        <w:t>. Each Loan Party agrees that the DIP Agent shall not have any obligation to preserve rights to any DIP Collateral against prior parties or to marshal any DIP Collateral of any kind for the benefit of any other creditor of any Loan Party or any other Person. The DIP Agent shall not be responsible to any Loan Party or any other Person for loss or damage resulting from the DIP Agent’s failure to enforce its Liens or collect any DIP Collateral or proceeds or any monies due or to become due under the Obligations or any other liability or obligation of any Loan Party to any Secured Party.</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6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Rights by Loan Parties</w:t>
      </w:r>
      <w:r>
        <w:rPr>
          <w:rFonts w:ascii="Times New Roman" w:cs="Times New Roman" w:eastAsia="Times New Roman" w:hAnsi="Times New Roman"/>
          <w:sz w:val="18"/>
          <w:szCs w:val="18"/>
          <w:color w:val="auto"/>
        </w:rPr>
        <w:t>. Except as otherwise expressly provided for in this Agreement or by non-waivable applicable law, each Borrower, on behalf of itself and the other Loan Parties, waives (i) presentment, demand and protest and notice of presentment, dishonor, notice of intent to accelerate, notice of acceleration, protest, default, nonpayment, maturity, release, compromise, settlement, extension or renewal of any or all commercial paper, accounts, contract rights, documents, instruments, chattel paper and guaranties at any time held by the DIP Agent on which any Loan Party may in any way be liable, and hereby ratifies and confirms whatever the DIP Agent may do in this regard, (ii) subject to the terms of the DIP Order, all rights to notice and a hearing prior to the DIP Agent’s taking possession or control of, or to the DIP Agent’s replevy, attachment or levy upon, the DIP Collateral or any bond or security which might be required by any court prior to allowing the DIP Agent to exercise any of its remedies and (iii) the benefit of all valuation, appraisal, marshaling and exemption laws. If any notice of a proposed sale or other disposition of any part of the DIP Collateral is required under applicable law, each Loan Party agrees that ten (10) calendar days prior notice of the time and place of any public sale and of the time after which any private sale or other disposition is to be made is commercially reasonable. Each Borrower, acknowledges, on behalf of itself and the other Loan Parties, that it has been advised by counsel of its choice with respect to the effect of the foregoing waivers and this Agreement, the other DIP Loan Documents and the transactions evidenced by this Agreement and the other DIP Loan Documents.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4" w:name="page105"/>
    <w:bookmarkEnd w:id="104"/>
    <w:p>
      <w:pPr>
        <w:ind w:left="660"/>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and delivered as of the date and year first written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 BRANDS ROYALTY I,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FBG DIP Borrower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Restructuring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 BRANDS FAZOLI’S NATIVE I,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FBG DIP Borrower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Restructuring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 BRANDS GFG ROYALTY I,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FBG DIP Borrower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Restructuring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TWIN HOSPITALITY I,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Twin DIP Borrower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Restructuring Officer</w:t>
      </w:r>
    </w:p>
    <w:p>
      <w:pPr>
        <w:spacing w:after="0" w:line="20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[FBG &amp; Twin –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661" w:right="5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color w:val="auto"/>
        </w:rPr>
        <w:t>FAT BRANDS,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Parent</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Restructuring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TWIN HOSPITALITY GROUP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Twin Manager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Restructuring Officer</w:t>
      </w:r>
    </w:p>
    <w:p>
      <w:pPr>
        <w:spacing w:after="0" w:line="207"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8"/>
          <w:szCs w:val="18"/>
          <w:color w:val="auto"/>
        </w:rPr>
        <w:t>[FBG &amp; Twin –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ACKNOWLEGED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BUFFALO’S FRANCHISE CONCEPTS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PONDEROSA FRANCHISING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PONDEROSA INTERNATIONAL DEVELOPMENT,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PUERTO RICO PONDEROSA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HURRICANE AMT,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 FRANCHISES,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JOHNNY ROCKETS LICENSING CANADA,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FATBURGER NORTH AMERICA,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BONANZA RESTAURANT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YALLA MEDITERRANEAN FRANCHISING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JOHNNY ROCKETS LICENSING,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FAT VIRTUAL RESTAURANTS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HDOS FRANCHISE BRANDS,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HDOS FRANCHISING,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HDOS SHOWCASE,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HDOS BRAND AND MARKETING FUND,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MARBLE SLAB FRANCHISE BRANDS,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MARBLE SLAB FRANCHISING,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MSC CORPORATE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MARBLE SLAB BRAND AND MARKETING FUND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AFB DISSOLUTION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GAC FRANCHISE BRANDS,LLC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GAC FRANCHISING,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GAC CORPORATE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GAC BRAND AND MARKETING FUND,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 BAKE BY GREAT AMERICAN COOKIES,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MINI-BAKE BY GAC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GAC MANUFACTURING,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MAGGIEMOO’S FRANCHISE BRANDS,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MAGGIEMOO’S FRANCHISING,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MAGGIEMOO’S BRAND AND MARKETING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 FRANCHISE BRANDS,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 CORPORATE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 FRANCHISING,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 BRAND AND MARKETING FUND,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GAC SUPPLY,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 FRANCHISE BRANDS,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 FRANCHISING,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PT BRAND AND MARKETING FUND,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 TABLE PIZZA,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 TABLE ADVERTISING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 TABLE ADVERTISING FUND</w:t>
      </w:r>
    </w:p>
    <w:p>
      <w:pPr>
        <w:spacing w:after="0" w:line="207"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8"/>
          <w:szCs w:val="18"/>
          <w:color w:val="auto"/>
        </w:rPr>
        <w:t>[FBG &amp; Twin –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ROUND TABLE FRANCHISE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FAZOLI’S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FAZOLI’S RESTAURANT GROUP,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FAZOLI’S PROMOTIONS,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FAZOLI’S FRANCHISING SYSTEMS,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FAZOLI’S FRANCHISING SYSTEMS CANADA,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FAZOLI’S SYSTEMS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FAZOLI’S JOINT VENTURE,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FAZOLI’S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NATIVE GRILL AND WINGS FRANCHISING,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as a FBG Subsidiary Guarantor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Restructuring Officer</w:t>
      </w:r>
    </w:p>
    <w:p>
      <w:pPr>
        <w:spacing w:after="0" w:line="207"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8"/>
          <w:szCs w:val="18"/>
          <w:color w:val="auto"/>
        </w:rPr>
        <w:t>[FBG &amp; Twin –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TWIN PEAKS BUYER,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SARASOTA 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LIVE OAK 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MCKINNEY 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TERRELL 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PLANO 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NORTHLAKE 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IP,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DEVELOPMENT,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INVESTMENT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N IRVING,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N IRVING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SAN ANTONIO</w:t>
      </w:r>
    </w:p>
    <w:p>
      <w:pPr>
        <w:spacing w:after="0" w:line="9" w:lineRule="exact"/>
        <w:rPr>
          <w:sz w:val="20"/>
          <w:szCs w:val="20"/>
          <w:color w:val="auto"/>
        </w:rPr>
      </w:pPr>
    </w:p>
    <w:p>
      <w:pPr>
        <w:ind w:right="4879"/>
        <w:spacing w:after="0" w:line="250" w:lineRule="auto"/>
        <w:rPr>
          <w:sz w:val="20"/>
          <w:szCs w:val="20"/>
          <w:color w:val="auto"/>
        </w:rPr>
      </w:pPr>
      <w:r>
        <w:rPr>
          <w:rFonts w:ascii="Times New Roman" w:cs="Times New Roman" w:eastAsia="Times New Roman" w:hAnsi="Times New Roman"/>
          <w:sz w:val="18"/>
          <w:szCs w:val="18"/>
          <w:color w:val="auto"/>
        </w:rPr>
        <w:t>TWIN RESTAURANT SAN ANTONIO BEVERAGE HOLDING, LLC TWIN RESTAURANT WESTERN CENTER, LLC</w:t>
      </w:r>
    </w:p>
    <w:p>
      <w:pPr>
        <w:spacing w:after="0" w:line="1" w:lineRule="exact"/>
        <w:rPr>
          <w:sz w:val="20"/>
          <w:szCs w:val="20"/>
          <w:color w:val="auto"/>
        </w:rPr>
      </w:pPr>
    </w:p>
    <w:p>
      <w:pPr>
        <w:ind w:right="4499"/>
        <w:spacing w:after="0" w:line="250" w:lineRule="auto"/>
        <w:rPr>
          <w:sz w:val="20"/>
          <w:szCs w:val="20"/>
          <w:color w:val="auto"/>
        </w:rPr>
      </w:pPr>
      <w:r>
        <w:rPr>
          <w:rFonts w:ascii="Times New Roman" w:cs="Times New Roman" w:eastAsia="Times New Roman" w:hAnsi="Times New Roman"/>
          <w:sz w:val="18"/>
          <w:szCs w:val="18"/>
          <w:color w:val="auto"/>
        </w:rPr>
        <w:t>TWIN RESTAURANT WESTERN CENTER BEVERAGE HOLDING, LLC TWIN RESTAURANT ODESSA,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ODESSA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DENVER,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CENTENNIAL,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DENVER,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BROOMFIELD,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VIVA LAS VEGAS,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INVESTMENT COMPANY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EL PASO,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EL PASO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NEW MEXICO,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FRANCHISE,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INTERNATIONAL FRANCHISE,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SUNLAND PARK, LLC</w:t>
      </w:r>
    </w:p>
    <w:p>
      <w:pPr>
        <w:spacing w:after="0" w:line="9" w:lineRule="exact"/>
        <w:rPr>
          <w:sz w:val="20"/>
          <w:szCs w:val="20"/>
          <w:color w:val="auto"/>
        </w:rPr>
      </w:pPr>
    </w:p>
    <w:p>
      <w:pPr>
        <w:ind w:right="4739"/>
        <w:spacing w:after="0" w:line="250" w:lineRule="auto"/>
        <w:rPr>
          <w:sz w:val="20"/>
          <w:szCs w:val="20"/>
          <w:color w:val="auto"/>
        </w:rPr>
      </w:pPr>
      <w:r>
        <w:rPr>
          <w:rFonts w:ascii="Times New Roman" w:cs="Times New Roman" w:eastAsia="Times New Roman" w:hAnsi="Times New Roman"/>
          <w:sz w:val="18"/>
          <w:szCs w:val="18"/>
          <w:color w:val="auto"/>
        </w:rPr>
        <w:t>TWIN RESTAURANT SUNLAND PARK BEVERAGE HOLDING, LLC TWIN RESTAURANT WESTOVER,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WESTOVER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PARK NORTH, LLC</w:t>
      </w:r>
    </w:p>
    <w:p>
      <w:pPr>
        <w:spacing w:after="0" w:line="9" w:lineRule="exact"/>
        <w:rPr>
          <w:sz w:val="20"/>
          <w:szCs w:val="20"/>
          <w:color w:val="auto"/>
        </w:rPr>
      </w:pPr>
    </w:p>
    <w:p>
      <w:pPr>
        <w:ind w:right="4979"/>
        <w:spacing w:after="0" w:line="250" w:lineRule="auto"/>
        <w:rPr>
          <w:sz w:val="20"/>
          <w:szCs w:val="20"/>
          <w:color w:val="auto"/>
        </w:rPr>
      </w:pPr>
      <w:r>
        <w:rPr>
          <w:rFonts w:ascii="Times New Roman" w:cs="Times New Roman" w:eastAsia="Times New Roman" w:hAnsi="Times New Roman"/>
          <w:sz w:val="18"/>
          <w:szCs w:val="18"/>
          <w:color w:val="auto"/>
        </w:rPr>
        <w:t>TWIN RESTAURANT PARK NORTH MANAGEMENT, LLC TWIN RESTAURANT PARK NORTH BEVERAGE HOLDING, LLC TWIN RESTAURANT S FORT WORTH, LLC</w:t>
      </w:r>
    </w:p>
    <w:p>
      <w:pPr>
        <w:spacing w:after="0" w:line="1" w:lineRule="exact"/>
        <w:rPr>
          <w:sz w:val="20"/>
          <w:szCs w:val="20"/>
          <w:color w:val="auto"/>
        </w:rPr>
      </w:pPr>
    </w:p>
    <w:p>
      <w:pPr>
        <w:ind w:right="4819"/>
        <w:spacing w:after="0" w:line="250" w:lineRule="auto"/>
        <w:rPr>
          <w:sz w:val="20"/>
          <w:szCs w:val="20"/>
          <w:color w:val="auto"/>
        </w:rPr>
      </w:pPr>
      <w:r>
        <w:rPr>
          <w:rFonts w:ascii="Times New Roman" w:cs="Times New Roman" w:eastAsia="Times New Roman" w:hAnsi="Times New Roman"/>
          <w:sz w:val="18"/>
          <w:szCs w:val="18"/>
          <w:color w:val="auto"/>
        </w:rPr>
        <w:t>TWIN RESTAURANT S FORT WORTH BEVERAGE HOLDING, LLC TWIN RESTAURANT WARRENVILLE, LLC TWIN RESTAURANT LV-2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LITTLE ROCK,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OAKBROOK,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 FRANCHISE VENTURE I, LLC</w:t>
      </w:r>
    </w:p>
    <w:p>
      <w:pPr>
        <w:spacing w:after="0" w:line="207"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8"/>
          <w:szCs w:val="18"/>
          <w:color w:val="auto"/>
        </w:rPr>
        <w:t>[FBG &amp; Twin –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t>TP TEXAS RESTAURANT SERVICES,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 TEXAS BEVERAGE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 FRANCHISE AUSTIN,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 FRANCHISE ROUND ROCK,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 TEXAS BEVERAGES,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JV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TPJV2,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JV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 GA,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NEWPORT NEWS,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KISSIMMEE,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CITRUS PARK,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CHESAPEAKE,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TYNGSBORO,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VIRGINIA BEACH,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MCKINNEY,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MCKINNEY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BEVERAGE – TEXAS,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LEWISVILLE,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SAN MARCOS, LLC</w:t>
      </w:r>
    </w:p>
    <w:p>
      <w:pPr>
        <w:spacing w:after="0" w:line="9" w:lineRule="exact"/>
        <w:rPr>
          <w:sz w:val="20"/>
          <w:szCs w:val="20"/>
          <w:color w:val="auto"/>
        </w:rPr>
      </w:pPr>
    </w:p>
    <w:p>
      <w:pPr>
        <w:ind w:right="4939"/>
        <w:spacing w:after="0" w:line="250" w:lineRule="auto"/>
        <w:rPr>
          <w:sz w:val="20"/>
          <w:szCs w:val="20"/>
          <w:color w:val="auto"/>
        </w:rPr>
      </w:pPr>
      <w:r>
        <w:rPr>
          <w:rFonts w:ascii="Times New Roman" w:cs="Times New Roman" w:eastAsia="Times New Roman" w:hAnsi="Times New Roman"/>
          <w:sz w:val="18"/>
          <w:szCs w:val="18"/>
          <w:color w:val="auto"/>
        </w:rPr>
        <w:t>TWIN RESTAURANT SAN MARCOS MANAGEMENT, LLC TWIN RESTAURANT SAN MARCOS BEVERAGE HOLDING, LLC TWIN RESTAURANT FRISCO, LLC TWIN RESTAURANT MIDLAND, LLC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MIDLAND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LIVE OAK,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LIVE OAK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LIVE OAK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SAN ANGELO, LLC</w:t>
      </w:r>
    </w:p>
    <w:p>
      <w:pPr>
        <w:spacing w:after="0" w:line="9" w:lineRule="exact"/>
        <w:rPr>
          <w:sz w:val="20"/>
          <w:szCs w:val="20"/>
          <w:color w:val="auto"/>
        </w:rPr>
      </w:pPr>
    </w:p>
    <w:p>
      <w:pPr>
        <w:ind w:right="4959"/>
        <w:spacing w:after="0" w:line="250" w:lineRule="auto"/>
        <w:rPr>
          <w:sz w:val="20"/>
          <w:szCs w:val="20"/>
          <w:color w:val="auto"/>
        </w:rPr>
      </w:pPr>
      <w:r>
        <w:rPr>
          <w:rFonts w:ascii="Times New Roman" w:cs="Times New Roman" w:eastAsia="Times New Roman" w:hAnsi="Times New Roman"/>
          <w:sz w:val="18"/>
          <w:szCs w:val="18"/>
          <w:color w:val="auto"/>
        </w:rPr>
        <w:t>TWIN RESTAURANT SAN ANGELO MANAGEMENT, LLC TWIN RESTAURANT SAN ANGELO BEVERAGE HOLDING, LLC TWIN RESTAURANT AMARILLO,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AMARILLO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AMARILLO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BURLESON,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BURLESON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BURLESON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GRAND PRAIRIE, LLC</w:t>
      </w:r>
    </w:p>
    <w:p>
      <w:pPr>
        <w:spacing w:after="0" w:line="9" w:lineRule="exact"/>
        <w:rPr>
          <w:sz w:val="20"/>
          <w:szCs w:val="20"/>
          <w:color w:val="auto"/>
        </w:rPr>
      </w:pPr>
    </w:p>
    <w:p>
      <w:pPr>
        <w:ind w:right="4719"/>
        <w:spacing w:after="0" w:line="255" w:lineRule="auto"/>
        <w:rPr>
          <w:sz w:val="20"/>
          <w:szCs w:val="20"/>
          <w:color w:val="auto"/>
        </w:rPr>
      </w:pPr>
      <w:r>
        <w:rPr>
          <w:rFonts w:ascii="Times New Roman" w:cs="Times New Roman" w:eastAsia="Times New Roman" w:hAnsi="Times New Roman"/>
          <w:sz w:val="18"/>
          <w:szCs w:val="18"/>
          <w:color w:val="auto"/>
        </w:rPr>
        <w:t>TWIN RESTAURANT GRAND PRAIRIE MANAGEMENT, LLC TWIN RESTAURANT GRAND PRAIRIE BEVERAGE HOLDING, LLC TWIN RESTAURANT LAKELAND, LLC</w:t>
      </w:r>
    </w:p>
    <w:p>
      <w:pPr>
        <w:spacing w:after="0" w:line="186"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8"/>
          <w:szCs w:val="18"/>
          <w:color w:val="auto"/>
        </w:rPr>
        <w:t>[FBG &amp; Twin –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auto"/>
        </w:rPr>
        <w:t>TWIN RESTAURANT BRANDON,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SARASOTA,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NORTHLAKE, LLC</w:t>
      </w:r>
    </w:p>
    <w:p>
      <w:pPr>
        <w:spacing w:after="0" w:line="9" w:lineRule="exact"/>
        <w:rPr>
          <w:sz w:val="20"/>
          <w:szCs w:val="20"/>
          <w:color w:val="auto"/>
        </w:rPr>
      </w:pPr>
    </w:p>
    <w:p>
      <w:pPr>
        <w:ind w:right="4959"/>
        <w:spacing w:after="0" w:line="250" w:lineRule="auto"/>
        <w:rPr>
          <w:sz w:val="20"/>
          <w:szCs w:val="20"/>
          <w:color w:val="auto"/>
        </w:rPr>
      </w:pPr>
      <w:r>
        <w:rPr>
          <w:rFonts w:ascii="Times New Roman" w:cs="Times New Roman" w:eastAsia="Times New Roman" w:hAnsi="Times New Roman"/>
          <w:sz w:val="18"/>
          <w:szCs w:val="18"/>
          <w:color w:val="auto"/>
        </w:rPr>
        <w:t>TWIN RESTAURANT NORTHLAKE BEVERAGE HOLDING, LLC, TWIN RESTAURANT PLANO,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PLANO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TERRELL,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TERRELL BEVERAGE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TWIN RESTAURANT FL PAYROLL,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BARBEQUE INTEGRATED,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SMOKEY BONES,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GMR OF PENNSYLVANIA-SB PROPERTIES,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INTEGRATED CARD SOLUTIONS, LLC,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as a Twin Subsidiary Guarantor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C. DiDonato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C. DiDonato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Restructuring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UMB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DIP Agent</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Prital K.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Prital K. Patel</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8"/>
          <w:szCs w:val="18"/>
          <w:color w:val="auto"/>
        </w:rPr>
        <w:t>[FBG &amp; Twin –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112" w:name="page113"/>
    <w:bookmarkEnd w:id="112"/>
    <w:p>
      <w:pPr>
        <w:ind w:right="48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AXONIC STRUCTURED OPPORTUNITIES MASTER FUND, LP, </w:t>
      </w:r>
      <w:r>
        <w:rPr>
          <w:rFonts w:ascii="Times New Roman" w:cs="Times New Roman" w:eastAsia="Times New Roman" w:hAnsi="Times New Roman"/>
          <w:sz w:val="18"/>
          <w:szCs w:val="18"/>
          <w:color w:val="auto"/>
        </w:rPr>
        <w:t>as FBG DIP Lender</w:t>
      </w:r>
    </w:p>
    <w:p>
      <w:pPr>
        <w:spacing w:after="0" w:line="15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Axonic Capital LLC, its Investment Manager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Joe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 Castellano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Accounting officer</w:t>
      </w:r>
    </w:p>
    <w:p>
      <w:pPr>
        <w:spacing w:after="0" w:line="203" w:lineRule="exact"/>
        <w:rPr>
          <w:sz w:val="20"/>
          <w:szCs w:val="20"/>
          <w:color w:val="auto"/>
        </w:rPr>
      </w:pPr>
    </w:p>
    <w:p>
      <w:pPr>
        <w:ind w:right="48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AXONIC STRUCTURED OPPORTUNITIES MASTER FUND, LP, </w:t>
      </w:r>
      <w:r>
        <w:rPr>
          <w:rFonts w:ascii="Times New Roman" w:cs="Times New Roman" w:eastAsia="Times New Roman" w:hAnsi="Times New Roman"/>
          <w:sz w:val="18"/>
          <w:szCs w:val="18"/>
          <w:color w:val="auto"/>
        </w:rPr>
        <w:t>as Twin DIP Lender</w:t>
      </w:r>
    </w:p>
    <w:p>
      <w:pPr>
        <w:spacing w:after="0" w:line="15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Axonic Capital LLC, its Investment Manager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Joe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 Castellano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Accounting officer</w:t>
      </w:r>
    </w:p>
    <w:p>
      <w:pPr>
        <w:spacing w:after="0" w:line="203" w:lineRule="exact"/>
        <w:rPr>
          <w:sz w:val="20"/>
          <w:szCs w:val="20"/>
          <w:color w:val="auto"/>
        </w:rPr>
      </w:pPr>
    </w:p>
    <w:p>
      <w:pPr>
        <w:ind w:right="48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AXONIC COMMERCIAL REAL ESTATE DEBT MASTER FUND, </w:t>
      </w:r>
      <w:r>
        <w:rPr>
          <w:rFonts w:ascii="Times New Roman" w:cs="Times New Roman" w:eastAsia="Times New Roman" w:hAnsi="Times New Roman"/>
          <w:sz w:val="18"/>
          <w:szCs w:val="18"/>
          <w:color w:val="auto"/>
        </w:rPr>
        <w:t>as FBG DIP Lender</w:t>
      </w:r>
    </w:p>
    <w:p>
      <w:pPr>
        <w:spacing w:after="0" w:line="15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Axonic Capital LLC, its Investment Manager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Joe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 Castellano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Accounting Officer</w:t>
      </w:r>
    </w:p>
    <w:p>
      <w:pPr>
        <w:spacing w:after="0" w:line="203" w:lineRule="exact"/>
        <w:rPr>
          <w:sz w:val="20"/>
          <w:szCs w:val="20"/>
          <w:color w:val="auto"/>
        </w:rPr>
      </w:pPr>
    </w:p>
    <w:p>
      <w:pPr>
        <w:ind w:right="48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AXONIC COMMERCIAL REAL ESTATE DEBT MASTER FUND, </w:t>
      </w:r>
      <w:r>
        <w:rPr>
          <w:rFonts w:ascii="Times New Roman" w:cs="Times New Roman" w:eastAsia="Times New Roman" w:hAnsi="Times New Roman"/>
          <w:sz w:val="18"/>
          <w:szCs w:val="18"/>
          <w:color w:val="auto"/>
        </w:rPr>
        <w:t>as Twin DIP Lender</w:t>
      </w:r>
    </w:p>
    <w:p>
      <w:pPr>
        <w:spacing w:after="0" w:line="15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Axonic Capital LLC, its Investment Manager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Joe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 Castellano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Accounting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AXONIC ALTERNATIVE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FBG DIP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Axonic Capital LLC, its Investment Manager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Joe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 Castellano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Accounting Officer</w:t>
      </w:r>
    </w:p>
    <w:p>
      <w:pPr>
        <w:spacing w:after="0" w:line="200" w:lineRule="exact"/>
        <w:rPr>
          <w:sz w:val="20"/>
          <w:szCs w:val="20"/>
          <w:color w:val="auto"/>
        </w:rPr>
      </w:pPr>
    </w:p>
    <w:p>
      <w:pPr>
        <w:spacing w:after="0" w:line="223"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8"/>
          <w:szCs w:val="18"/>
          <w:color w:val="auto"/>
        </w:rPr>
        <w:t>[FBG &amp; Twin –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AXONIC ALTERNATIVE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Twin DIP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Axonic Capital LLC, its Investment Manager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Joe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 Castellano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Accounting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AXONIC STRATEGIC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FBG DIP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Axonic Capital LLC, its Investment Manager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Joe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 Castellano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Accounting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AXONIC STRATEGIC INCOME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Twin DIP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Axonic Capital LLC, its Investment Manager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Joe Castellano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Joe Castellano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Accounting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FBG DIP Lender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Erick Jerrard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Erik Jerrard</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Twin DIP Lender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Erick Jerrard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Erik Jerrard</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BOTTICELLI,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FBG DIP Lender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Thomas J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Thomas J Durkin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BOTTICELLI,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Twin DIP Lender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Thomas J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Thomas J Durkin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25" w:lineRule="exact"/>
        <w:rPr>
          <w:sz w:val="20"/>
          <w:szCs w:val="20"/>
          <w:color w:val="auto"/>
        </w:rPr>
      </w:pPr>
    </w:p>
    <w:p>
      <w:pPr>
        <w:jc w:val="right"/>
        <w:ind w:right="2779"/>
        <w:spacing w:after="0"/>
        <w:rPr>
          <w:sz w:val="20"/>
          <w:szCs w:val="20"/>
          <w:color w:val="auto"/>
        </w:rPr>
      </w:pPr>
      <w:r>
        <w:rPr>
          <w:rFonts w:ascii="Times New Roman" w:cs="Times New Roman" w:eastAsia="Times New Roman" w:hAnsi="Times New Roman"/>
          <w:sz w:val="22"/>
          <w:szCs w:val="22"/>
          <w:color w:val="auto"/>
        </w:rPr>
        <w:t>[FBG &amp; Twin –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FFI FUND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FBG DIP Lender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N. Spinney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N. Spinney Jr.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FFI FUND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Twin DIP Lender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N. Spinney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N. Spinney Jr.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FYI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FBG DIP Lender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N. Spinney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N. Spinney Jr.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FYI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Twin DIP Lender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N. Spinney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N. Spinney Jr.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OLIFANT FUND,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FBG DIP Lender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N. Spinney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N. Spinney Jr.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OLIFANT FUND,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Twin DIP Lender</w:t>
      </w:r>
    </w:p>
    <w:p>
      <w:pPr>
        <w:spacing w:after="0" w:line="20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N. Spinney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N. Spinney Jr.</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8"/>
          <w:szCs w:val="18"/>
          <w:color w:val="auto"/>
        </w:rPr>
        <w:t>[FBG &amp; Twin –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11" w:right="1440"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BOSTON PATRIOT BEACON ST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FBG DIP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Brigade Capital Management, LP as Investment Manager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Patrick Criscillo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Patrick Criscillo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BRIGADE STRUCTURED CREDIT FUND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FBG DIP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Brigade Capital Management, LP as Investment Manager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Patrick Criscillo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Patrick Criscillo</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 CANYON TOTAL RETURN BOND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FBG DIP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River Canyon Fund Management LLC, its Investment Advisor</w:t>
      </w:r>
    </w:p>
    <w:p>
      <w:pPr>
        <w:spacing w:after="0" w:line="23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Jonathan M.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Jonathan M. Kaplan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 CANYON TOTAL RETURN BOND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Twin DIP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River Canyon Fund Management LLC, its Investment Advisor</w:t>
      </w:r>
    </w:p>
    <w:p>
      <w:pPr>
        <w:spacing w:after="0" w:line="23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Jonathan M.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Jonathan M. Kaplan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RIVER CANYON STRUCTURED PRODUCTS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series trust of Canyon Partners Umbrella Trust, as FBG DIP Lender</w:t>
      </w:r>
    </w:p>
    <w:p>
      <w:pPr>
        <w:sectPr>
          <w:pgSz w:w="11900" w:h="16838" w:orient="portrait"/>
          <w:cols w:equalWidth="0" w:num="1">
            <w:col w:w="10139"/>
          </w:cols>
          <w:pgMar w:left="320" w:top="684" w:right="1440"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CP Trustee Services (Cayman) Limited, solely in its capacity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0" w:lineRule="exact"/>
        <w:rPr>
          <w:sz w:val="20"/>
          <w:szCs w:val="20"/>
          <w:color w:val="auto"/>
        </w:rPr>
      </w:pPr>
    </w:p>
    <w:p>
      <w:pPr>
        <w:sectPr>
          <w:pgSz w:w="11900" w:h="16838" w:orient="portrait"/>
          <w:cols w:equalWidth="0" w:num="2">
            <w:col w:w="260" w:space="320"/>
            <w:col w:w="9559"/>
          </w:cols>
          <w:pgMar w:left="320" w:top="68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River Canyon Fund Management LLC, solely in its capacity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agent</w:t>
      </w:r>
    </w:p>
    <w:p>
      <w:pPr>
        <w:spacing w:after="0" w:line="200" w:lineRule="exact"/>
        <w:rPr>
          <w:sz w:val="20"/>
          <w:szCs w:val="20"/>
          <w:color w:val="auto"/>
        </w:rPr>
      </w:pPr>
    </w:p>
    <w:p>
      <w:pPr>
        <w:sectPr>
          <w:pgSz w:w="11900" w:h="16838" w:orient="portrait"/>
          <w:cols w:equalWidth="0" w:num="2">
            <w:col w:w="260" w:space="320"/>
            <w:col w:w="9559"/>
          </w:cols>
          <w:pgMar w:left="320" w:top="684" w:right="1440" w:bottom="1440" w:gutter="0" w:footer="0" w:header="0"/>
          <w:type w:val="continuous"/>
        </w:sectPr>
      </w:pPr>
    </w:p>
    <w:p>
      <w:pPr>
        <w:spacing w:after="0" w:line="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Jonathan M.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Jonathan M. Kaplan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jc w:val="right"/>
        <w:ind w:right="3079"/>
        <w:spacing w:after="0"/>
        <w:rPr>
          <w:sz w:val="20"/>
          <w:szCs w:val="20"/>
          <w:color w:val="auto"/>
        </w:rPr>
      </w:pPr>
      <w:r>
        <w:rPr>
          <w:rFonts w:ascii="Times New Roman" w:cs="Times New Roman" w:eastAsia="Times New Roman" w:hAnsi="Times New Roman"/>
          <w:sz w:val="18"/>
          <w:szCs w:val="18"/>
          <w:color w:val="auto"/>
        </w:rPr>
        <w:t>[FBG &amp; Twin –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color w:val="auto"/>
        </w:rPr>
        <w:t>RIVER CANYON STRUCTURED PRODUCTS FUND,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series trust of Canyon Partners Umbrella Trust, as Twin DIP Lender</w:t>
      </w:r>
    </w:p>
    <w:p>
      <w:pPr>
        <w:sectPr>
          <w:pgSz w:w="11900" w:h="16838" w:orient="portrait"/>
          <w:cols w:equalWidth="0" w:num="1">
            <w:col w:w="11240"/>
          </w:cols>
          <w:pgMar w:left="320" w:top="684" w:right="339" w:bottom="1440" w:gutter="0" w:footer="0" w:header="0"/>
        </w:sect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CP Trustee Services (Cayman) Limited, solely in its capacity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200" w:lineRule="exact"/>
        <w:rPr>
          <w:sz w:val="20"/>
          <w:szCs w:val="20"/>
          <w:color w:val="auto"/>
        </w:rPr>
      </w:pPr>
    </w:p>
    <w:p>
      <w:pPr>
        <w:sectPr>
          <w:pgSz w:w="11900" w:h="16838" w:orient="portrait"/>
          <w:cols w:equalWidth="0" w:num="2">
            <w:col w:w="260" w:space="320"/>
            <w:col w:w="10660"/>
          </w:cols>
          <w:pgMar w:left="320" w:top="68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River Canyon Fund Management LLC, solely in its capacity as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trustee’s agent</w:t>
      </w:r>
    </w:p>
    <w:p>
      <w:pPr>
        <w:spacing w:after="0" w:line="200" w:lineRule="exact"/>
        <w:rPr>
          <w:sz w:val="20"/>
          <w:szCs w:val="20"/>
          <w:color w:val="auto"/>
        </w:rPr>
      </w:pPr>
    </w:p>
    <w:p>
      <w:pPr>
        <w:sectPr>
          <w:pgSz w:w="11900" w:h="16838" w:orient="portrait"/>
          <w:cols w:equalWidth="0" w:num="2">
            <w:col w:w="260" w:space="320"/>
            <w:col w:w="10660"/>
          </w:cols>
          <w:pgMar w:left="320" w:top="684" w:right="339" w:bottom="1440" w:gutter="0" w:footer="0" w:header="0"/>
          <w:type w:val="continuous"/>
        </w:sectPr>
      </w:pPr>
    </w:p>
    <w:p>
      <w:pPr>
        <w:spacing w:after="0" w:line="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Jonathan M.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Jonathan M. Kaplan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TACONIC OPPORTUNITY MASTER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FBG DIP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Taconic Capital Advisors L.P., its investment manager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Erin Rota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Erin Rota</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Deputy 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TACONIC OPPORTUNITY MASTER FUND L.P.,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Twin DIP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Taconic Capital Advisors L.P., its investment manager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Erin Rota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Erin Rota</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Deputy 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TACONIC MARKET DISLOCATION MASTER FUND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FBG DIP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Taconic Capital Advisors L.P., its investment manager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Erin Rota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Erin Rota</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Deputy 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TACONIC MARKET DISLOCATION MASTER FUND III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Twin DIP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Taconic Capital Advisors L.P., its investment manager</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Erin Rota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Erin Rota</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Deputy General Counsel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POINT LOAN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FBG DIP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Third Point LLC, Its Attorney-in-Fact</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Mendy R.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Mendy R. Haas</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CFO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Point Loan LLC executes this signature page as nominee for funds managed and/or advised by Third Point LLC and not in its individual capacity.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information and representations and warranties of Third Point Loan LLC herein are provided by and with respect to such funds.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[FBG &amp; Twin –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THIRD POINT LOAN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Twin DIP Lender</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Third Point LLC, Its Attorney-in-Fact</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Mendy R. Haas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Mendy R. Haas</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CFO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*Third Point Loan LLC executes this signature page as nominee for funds managed and/or advised by Third Point LLC and not in its individual capacity.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information and representations and warranties of Third Point Loan LLC herein are provided by and with respect to such funds.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[FBG &amp; Twin –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FBG</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84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2260" w:type="dxa"/>
            <w:vAlign w:val="bottom"/>
            <w:tcBorders>
              <w:top w:val="single" w:sz="8" w:color="auto"/>
              <w:right w:val="single" w:sz="8" w:color="auto"/>
            </w:tcBorders>
            <w:vMerge w:val="restart"/>
            <w:shd w:val="clear" w:color="auto" w:fill="D9D9D9"/>
          </w:tcPr>
          <w:p>
            <w:pPr>
              <w:ind w:left="440"/>
              <w:spacing w:after="0"/>
              <w:rPr>
                <w:sz w:val="20"/>
                <w:szCs w:val="20"/>
                <w:color w:val="auto"/>
              </w:rPr>
            </w:pPr>
            <w:r>
              <w:rPr>
                <w:rFonts w:ascii="Times New Roman" w:cs="Times New Roman" w:eastAsia="Times New Roman" w:hAnsi="Times New Roman"/>
                <w:sz w:val="18"/>
                <w:szCs w:val="18"/>
                <w:b w:val="1"/>
                <w:bCs w:val="1"/>
                <w:color w:val="auto"/>
              </w:rPr>
              <w:t>FBG DIP Facility</w:t>
            </w:r>
          </w:p>
        </w:tc>
        <w:tc>
          <w:tcPr>
            <w:tcW w:w="24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FBG New Money Term</w:t>
            </w:r>
          </w:p>
        </w:tc>
        <w:tc>
          <w:tcPr>
            <w:tcW w:w="26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Roll-Up Loan</w:t>
            </w:r>
          </w:p>
        </w:tc>
        <w:tc>
          <w:tcPr>
            <w:tcW w:w="0" w:type="dxa"/>
            <w:vAlign w:val="bottom"/>
          </w:tcPr>
          <w:p>
            <w:pPr>
              <w:spacing w:after="0"/>
              <w:rPr>
                <w:sz w:val="1"/>
                <w:szCs w:val="1"/>
                <w:color w:val="auto"/>
              </w:rPr>
            </w:pPr>
          </w:p>
        </w:tc>
      </w:tr>
      <w:tr>
        <w:trPr>
          <w:trHeight w:val="130"/>
        </w:trPr>
        <w:tc>
          <w:tcPr>
            <w:tcW w:w="384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260" w:type="dxa"/>
            <w:vAlign w:val="bottom"/>
            <w:tcBorders>
              <w:right w:val="single" w:sz="8" w:color="auto"/>
            </w:tcBorders>
            <w:vMerge w:val="continue"/>
            <w:shd w:val="clear" w:color="auto" w:fill="D9D9D9"/>
          </w:tcPr>
          <w:p>
            <w:pPr>
              <w:spacing w:after="0"/>
              <w:rPr>
                <w:sz w:val="11"/>
                <w:szCs w:val="11"/>
                <w:color w:val="auto"/>
              </w:rPr>
            </w:pPr>
          </w:p>
        </w:tc>
        <w:tc>
          <w:tcPr>
            <w:tcW w:w="24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26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2260" w:type="dxa"/>
            <w:vAlign w:val="bottom"/>
            <w:tcBorders>
              <w:bottom w:val="single" w:sz="8" w:color="auto"/>
              <w:right w:val="single" w:sz="8" w:color="auto"/>
            </w:tcBorders>
            <w:shd w:val="clear" w:color="auto" w:fill="D9D9D9"/>
          </w:tcPr>
          <w:p>
            <w:pPr>
              <w:spacing w:after="0"/>
              <w:rPr>
                <w:sz w:val="9"/>
                <w:szCs w:val="9"/>
                <w:color w:val="auto"/>
              </w:rPr>
            </w:pPr>
          </w:p>
        </w:tc>
        <w:tc>
          <w:tcPr>
            <w:tcW w:w="246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268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Axonic Strategic Income Fund</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$12,116,640.40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$3,029,160.10</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$9,087,480.30</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Axonic Alternative Income Fund</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$660,901.16</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$165,225.29</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$495,675.87</w:t>
            </w:r>
          </w:p>
        </w:tc>
        <w:tc>
          <w:tcPr>
            <w:tcW w:w="0" w:type="dxa"/>
            <w:vAlign w:val="bottom"/>
          </w:tcPr>
          <w:p>
            <w:pPr>
              <w:spacing w:after="0"/>
              <w:rPr>
                <w:sz w:val="1"/>
                <w:szCs w:val="1"/>
                <w:color w:val="auto"/>
              </w:rPr>
            </w:pPr>
          </w:p>
        </w:tc>
      </w:tr>
      <w:tr>
        <w:trPr>
          <w:trHeight w:val="191"/>
        </w:trPr>
        <w:tc>
          <w:tcPr>
            <w:tcW w:w="38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Axonic Commercial Real Estate Debt Master</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$1,808,300.12</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$452,075.03</w:t>
            </w: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$1,356,225.09</w:t>
            </w:r>
          </w:p>
        </w:tc>
        <w:tc>
          <w:tcPr>
            <w:tcW w:w="0" w:type="dxa"/>
            <w:vAlign w:val="bottom"/>
          </w:tcPr>
          <w:p>
            <w:pPr>
              <w:spacing w:after="0"/>
              <w:rPr>
                <w:sz w:val="1"/>
                <w:szCs w:val="1"/>
                <w:color w:val="auto"/>
              </w:rPr>
            </w:pPr>
          </w:p>
        </w:tc>
      </w:tr>
      <w:tr>
        <w:trPr>
          <w:trHeight w:val="126"/>
        </w:trPr>
        <w:tc>
          <w:tcPr>
            <w:tcW w:w="3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Fund</w:t>
            </w:r>
          </w:p>
        </w:tc>
        <w:tc>
          <w:tcPr>
            <w:tcW w:w="226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8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Axonic Structured Opportunities Master Fund,</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$2,007,618.88</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$501,904.72</w:t>
            </w: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$1,505,714.16</w:t>
            </w:r>
          </w:p>
        </w:tc>
        <w:tc>
          <w:tcPr>
            <w:tcW w:w="0" w:type="dxa"/>
            <w:vAlign w:val="bottom"/>
          </w:tcPr>
          <w:p>
            <w:pPr>
              <w:spacing w:after="0"/>
              <w:rPr>
                <w:sz w:val="1"/>
                <w:szCs w:val="1"/>
                <w:color w:val="auto"/>
              </w:rPr>
            </w:pPr>
          </w:p>
        </w:tc>
      </w:tr>
      <w:tr>
        <w:trPr>
          <w:trHeight w:val="126"/>
        </w:trPr>
        <w:tc>
          <w:tcPr>
            <w:tcW w:w="3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LP</w:t>
            </w:r>
          </w:p>
        </w:tc>
        <w:tc>
          <w:tcPr>
            <w:tcW w:w="226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Barclays Bank PLC</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$38,049,243.44</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$9,512,310.86</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$28,536,932.58</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FFI Fund Ltd.</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$4,601,400.08</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$1,150,350.02</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$3,451,050.06</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FYI Ltd.</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$894,540.04</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$223,635.01</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$670,905.03</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Olifant Fund, Ltd.</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$894,540.04</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$223,635.01</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$670,905.03</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Brigade Structured Credit Fund Ltd.</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$11,834,087.12</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$2,958,521.78</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$8,875,565.34</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Boston Patriot Beacon St LLC</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$1,213,082.96</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$303,270.74</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$909,812.22</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River Canyon Total Return Bond Fund</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$9,545,561.80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$2,386,390.45</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$7,159,171.35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River Canyon Structured Products Fund</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$787,340.60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$196,835.15</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$590,505.45</w:t>
            </w:r>
          </w:p>
        </w:tc>
        <w:tc>
          <w:tcPr>
            <w:tcW w:w="0" w:type="dxa"/>
            <w:vAlign w:val="bottom"/>
          </w:tcPr>
          <w:p>
            <w:pPr>
              <w:spacing w:after="0"/>
              <w:rPr>
                <w:sz w:val="1"/>
                <w:szCs w:val="1"/>
                <w:color w:val="auto"/>
              </w:rPr>
            </w:pPr>
          </w:p>
        </w:tc>
      </w:tr>
      <w:tr>
        <w:trPr>
          <w:trHeight w:val="191"/>
        </w:trPr>
        <w:tc>
          <w:tcPr>
            <w:tcW w:w="384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Taconic Market Dislocation Master Fund III</w:t>
            </w:r>
          </w:p>
        </w:tc>
        <w:tc>
          <w:tcPr>
            <w:tcW w:w="2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$10,932,926.96</w:t>
            </w:r>
          </w:p>
        </w:tc>
        <w:tc>
          <w:tcPr>
            <w:tcW w:w="2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$2,733,231.74</w:t>
            </w: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$8,199,695.22</w:t>
            </w:r>
          </w:p>
        </w:tc>
        <w:tc>
          <w:tcPr>
            <w:tcW w:w="0" w:type="dxa"/>
            <w:vAlign w:val="bottom"/>
          </w:tcPr>
          <w:p>
            <w:pPr>
              <w:spacing w:after="0"/>
              <w:rPr>
                <w:sz w:val="1"/>
                <w:szCs w:val="1"/>
                <w:color w:val="auto"/>
              </w:rPr>
            </w:pPr>
          </w:p>
        </w:tc>
      </w:tr>
      <w:tr>
        <w:trPr>
          <w:trHeight w:val="126"/>
        </w:trPr>
        <w:tc>
          <w:tcPr>
            <w:tcW w:w="38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(Cayman), L.P.</w:t>
            </w:r>
          </w:p>
        </w:tc>
        <w:tc>
          <w:tcPr>
            <w:tcW w:w="226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8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Taconic Opportunity Master Fund L.P.</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$15,902,447.72</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$3,975,611.93</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$11,926,835.79</w:t>
            </w:r>
          </w:p>
        </w:tc>
        <w:tc>
          <w:tcPr>
            <w:tcW w:w="0" w:type="dxa"/>
            <w:vAlign w:val="bottom"/>
          </w:tcPr>
          <w:p>
            <w:pPr>
              <w:spacing w:after="0"/>
              <w:rPr>
                <w:sz w:val="1"/>
                <w:szCs w:val="1"/>
                <w:color w:val="auto"/>
              </w:rPr>
            </w:pPr>
          </w:p>
        </w:tc>
      </w:tr>
      <w:tr>
        <w:trPr>
          <w:trHeight w:val="209"/>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Third Point Loan LLC</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$53,773,107.00</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$13,443,276.75</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$40,329,830.25</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Botticelli, LLC</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$19,538,261.68</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$4,884,565.42</w:t>
            </w:r>
          </w:p>
        </w:tc>
        <w:tc>
          <w:tcPr>
            <w:tcW w:w="2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$14,653,696.26</w:t>
            </w:r>
          </w:p>
        </w:tc>
        <w:tc>
          <w:tcPr>
            <w:tcW w:w="0" w:type="dxa"/>
            <w:vAlign w:val="bottom"/>
          </w:tcPr>
          <w:p>
            <w:pPr>
              <w:spacing w:after="0"/>
              <w:rPr>
                <w:sz w:val="1"/>
                <w:szCs w:val="1"/>
                <w:color w:val="auto"/>
              </w:rPr>
            </w:pPr>
          </w:p>
        </w:tc>
      </w:tr>
      <w:tr>
        <w:trPr>
          <w:trHeight w:val="210"/>
        </w:trPr>
        <w:tc>
          <w:tcPr>
            <w:tcW w:w="3840" w:type="dxa"/>
            <w:vAlign w:val="bottom"/>
            <w:tcBorders>
              <w:left w:val="single" w:sz="8" w:color="auto"/>
              <w:bottom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$184,560,000.00</w:t>
            </w:r>
          </w:p>
        </w:tc>
        <w:tc>
          <w:tcPr>
            <w:tcW w:w="24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$46,140,000.00</w:t>
            </w:r>
          </w:p>
        </w:tc>
        <w:tc>
          <w:tcPr>
            <w:tcW w:w="26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rPr>
              <w:t>$138,420,000.00</w:t>
            </w:r>
          </w:p>
        </w:tc>
        <w:tc>
          <w:tcPr>
            <w:tcW w:w="0" w:type="dxa"/>
            <w:vAlign w:val="bottom"/>
          </w:tcPr>
          <w:p>
            <w:pPr>
              <w:spacing w:after="0"/>
              <w:rPr>
                <w:sz w:val="1"/>
                <w:szCs w:val="1"/>
                <w:color w:val="auto"/>
              </w:rPr>
            </w:pPr>
          </w:p>
        </w:tc>
      </w:tr>
      <w:tr>
        <w:trPr>
          <w:trHeight w:val="425"/>
        </w:trPr>
        <w:tc>
          <w:tcPr>
            <w:tcW w:w="38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19" w:name="page120"/>
    <w:bookmarkEnd w:id="11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52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42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FBG New Money Term Loans Borrowed on Closing</w:t>
            </w:r>
          </w:p>
        </w:tc>
        <w:tc>
          <w:tcPr>
            <w:tcW w:w="34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Roll-Up Loan Amount with Respect to</w:t>
            </w:r>
          </w:p>
        </w:tc>
        <w:tc>
          <w:tcPr>
            <w:tcW w:w="0" w:type="dxa"/>
            <w:vAlign w:val="bottom"/>
          </w:tcPr>
          <w:p>
            <w:pPr>
              <w:spacing w:after="0"/>
              <w:rPr>
                <w:sz w:val="1"/>
                <w:szCs w:val="1"/>
                <w:color w:val="auto"/>
              </w:rPr>
            </w:pPr>
          </w:p>
        </w:tc>
      </w:tr>
      <w:tr>
        <w:trPr>
          <w:trHeight w:val="130"/>
        </w:trPr>
        <w:tc>
          <w:tcPr>
            <w:tcW w:w="352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42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34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Borrowing on Closing Date</w:t>
            </w:r>
          </w:p>
        </w:tc>
        <w:tc>
          <w:tcPr>
            <w:tcW w:w="0" w:type="dxa"/>
            <w:vAlign w:val="bottom"/>
          </w:tcPr>
          <w:p>
            <w:pPr>
              <w:spacing w:after="0"/>
              <w:rPr>
                <w:sz w:val="1"/>
                <w:szCs w:val="1"/>
                <w:color w:val="auto"/>
              </w:rPr>
            </w:pPr>
          </w:p>
        </w:tc>
      </w:tr>
      <w:tr>
        <w:trPr>
          <w:trHeight w:val="108"/>
        </w:trPr>
        <w:tc>
          <w:tcPr>
            <w:tcW w:w="352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426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346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Axonic Strategic Income Fund</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$1,890,763.13</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$5,672,289.39</w:t>
            </w: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Axonic Alternative Income Fund</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$103,131.52</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$309,394.56</w:t>
            </w:r>
          </w:p>
        </w:tc>
        <w:tc>
          <w:tcPr>
            <w:tcW w:w="0" w:type="dxa"/>
            <w:vAlign w:val="bottom"/>
          </w:tcPr>
          <w:p>
            <w:pPr>
              <w:spacing w:after="0"/>
              <w:rPr>
                <w:sz w:val="1"/>
                <w:szCs w:val="1"/>
                <w:color w:val="auto"/>
              </w:rPr>
            </w:pPr>
          </w:p>
        </w:tc>
      </w:tr>
      <w:tr>
        <w:trPr>
          <w:trHeight w:val="191"/>
        </w:trPr>
        <w:tc>
          <w:tcPr>
            <w:tcW w:w="35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Axonic Commercial Real Estate Debt Master</w:t>
            </w:r>
          </w:p>
        </w:tc>
        <w:tc>
          <w:tcPr>
            <w:tcW w:w="4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$282,179.47</w:t>
            </w:r>
          </w:p>
        </w:tc>
        <w:tc>
          <w:tcPr>
            <w:tcW w:w="3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$846,538.41</w:t>
            </w:r>
          </w:p>
        </w:tc>
        <w:tc>
          <w:tcPr>
            <w:tcW w:w="0" w:type="dxa"/>
            <w:vAlign w:val="bottom"/>
          </w:tcPr>
          <w:p>
            <w:pPr>
              <w:spacing w:after="0"/>
              <w:rPr>
                <w:sz w:val="1"/>
                <w:szCs w:val="1"/>
                <w:color w:val="auto"/>
              </w:rPr>
            </w:pPr>
          </w:p>
        </w:tc>
      </w:tr>
      <w:tr>
        <w:trPr>
          <w:trHeight w:val="126"/>
        </w:trPr>
        <w:tc>
          <w:tcPr>
            <w:tcW w:w="3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Fund</w:t>
            </w:r>
          </w:p>
        </w:tc>
        <w:tc>
          <w:tcPr>
            <w:tcW w:w="4260" w:type="dxa"/>
            <w:vAlign w:val="bottom"/>
            <w:tcBorders>
              <w:right w:val="single" w:sz="8" w:color="auto"/>
            </w:tcBorders>
            <w:vMerge w:val="continue"/>
          </w:tcPr>
          <w:p>
            <w:pPr>
              <w:spacing w:after="0"/>
              <w:rPr>
                <w:sz w:val="10"/>
                <w:szCs w:val="10"/>
                <w:color w:val="auto"/>
              </w:rPr>
            </w:pPr>
          </w:p>
        </w:tc>
        <w:tc>
          <w:tcPr>
            <w:tcW w:w="3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426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5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Axonic Structured Opportunities Master</w:t>
            </w:r>
          </w:p>
        </w:tc>
        <w:tc>
          <w:tcPr>
            <w:tcW w:w="4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$313,282.53</w:t>
            </w:r>
          </w:p>
        </w:tc>
        <w:tc>
          <w:tcPr>
            <w:tcW w:w="3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$939,847.59</w:t>
            </w:r>
          </w:p>
        </w:tc>
        <w:tc>
          <w:tcPr>
            <w:tcW w:w="0" w:type="dxa"/>
            <w:vAlign w:val="bottom"/>
          </w:tcPr>
          <w:p>
            <w:pPr>
              <w:spacing w:after="0"/>
              <w:rPr>
                <w:sz w:val="1"/>
                <w:szCs w:val="1"/>
                <w:color w:val="auto"/>
              </w:rPr>
            </w:pPr>
          </w:p>
        </w:tc>
      </w:tr>
      <w:tr>
        <w:trPr>
          <w:trHeight w:val="126"/>
        </w:trPr>
        <w:tc>
          <w:tcPr>
            <w:tcW w:w="3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Fund, LP</w:t>
            </w:r>
          </w:p>
        </w:tc>
        <w:tc>
          <w:tcPr>
            <w:tcW w:w="4260" w:type="dxa"/>
            <w:vAlign w:val="bottom"/>
            <w:tcBorders>
              <w:right w:val="single" w:sz="8" w:color="auto"/>
            </w:tcBorders>
            <w:vMerge w:val="continue"/>
          </w:tcPr>
          <w:p>
            <w:pPr>
              <w:spacing w:after="0"/>
              <w:rPr>
                <w:sz w:val="10"/>
                <w:szCs w:val="10"/>
                <w:color w:val="auto"/>
              </w:rPr>
            </w:pPr>
          </w:p>
        </w:tc>
        <w:tc>
          <w:tcPr>
            <w:tcW w:w="3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426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Barclays Bank PLC</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$5,937,463.21</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$17,812,389.63</w:t>
            </w:r>
          </w:p>
        </w:tc>
        <w:tc>
          <w:tcPr>
            <w:tcW w:w="0" w:type="dxa"/>
            <w:vAlign w:val="bottom"/>
          </w:tcPr>
          <w:p>
            <w:pPr>
              <w:spacing w:after="0"/>
              <w:rPr>
                <w:sz w:val="1"/>
                <w:szCs w:val="1"/>
                <w:color w:val="auto"/>
              </w:rPr>
            </w:pP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FFI Fund Ltd.</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$718,033.82</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$2,154,101.46</w:t>
            </w: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FYI Ltd.</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$139,590.12</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$418,770.36</w:t>
            </w:r>
          </w:p>
        </w:tc>
        <w:tc>
          <w:tcPr>
            <w:tcW w:w="0" w:type="dxa"/>
            <w:vAlign w:val="bottom"/>
          </w:tcPr>
          <w:p>
            <w:pPr>
              <w:spacing w:after="0"/>
              <w:rPr>
                <w:sz w:val="1"/>
                <w:szCs w:val="1"/>
                <w:color w:val="auto"/>
              </w:rPr>
            </w:pP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Olifant Fund, Ltd.</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$139,590.12</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$418,770.36</w:t>
            </w: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Brigade Structured Credit Fund Ltd.</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$1,846,671.59</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$5,540,014.77</w:t>
            </w:r>
          </w:p>
        </w:tc>
        <w:tc>
          <w:tcPr>
            <w:tcW w:w="0" w:type="dxa"/>
            <w:vAlign w:val="bottom"/>
          </w:tcPr>
          <w:p>
            <w:pPr>
              <w:spacing w:after="0"/>
              <w:rPr>
                <w:sz w:val="1"/>
                <w:szCs w:val="1"/>
                <w:color w:val="auto"/>
              </w:rPr>
            </w:pP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Boston Patriot Beacon St LLC</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$189,297.73</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$567,893.19</w:t>
            </w:r>
          </w:p>
        </w:tc>
        <w:tc>
          <w:tcPr>
            <w:tcW w:w="0" w:type="dxa"/>
            <w:vAlign w:val="bottom"/>
          </w:tcPr>
          <w:p>
            <w:pPr>
              <w:spacing w:after="0"/>
              <w:rPr>
                <w:sz w:val="1"/>
                <w:szCs w:val="1"/>
                <w:color w:val="auto"/>
              </w:rPr>
            </w:pP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River Canyon Total Return Bond Fund</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$1,489,554.51</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$4,468,663.53</w:t>
            </w: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River Canyon Structured Products Fund</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$122,861.99</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$368,585.97</w:t>
            </w:r>
          </w:p>
        </w:tc>
        <w:tc>
          <w:tcPr>
            <w:tcW w:w="0" w:type="dxa"/>
            <w:vAlign w:val="bottom"/>
          </w:tcPr>
          <w:p>
            <w:pPr>
              <w:spacing w:after="0"/>
              <w:rPr>
                <w:sz w:val="1"/>
                <w:szCs w:val="1"/>
                <w:color w:val="auto"/>
              </w:rPr>
            </w:pPr>
          </w:p>
        </w:tc>
      </w:tr>
      <w:tr>
        <w:trPr>
          <w:trHeight w:val="191"/>
        </w:trPr>
        <w:tc>
          <w:tcPr>
            <w:tcW w:w="35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Taconic Market Dislocation Master Fund III</w:t>
            </w:r>
          </w:p>
        </w:tc>
        <w:tc>
          <w:tcPr>
            <w:tcW w:w="4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$1,706,048.42</w:t>
            </w:r>
          </w:p>
        </w:tc>
        <w:tc>
          <w:tcPr>
            <w:tcW w:w="3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$5,118,145.26</w:t>
            </w:r>
          </w:p>
        </w:tc>
        <w:tc>
          <w:tcPr>
            <w:tcW w:w="0" w:type="dxa"/>
            <w:vAlign w:val="bottom"/>
          </w:tcPr>
          <w:p>
            <w:pPr>
              <w:spacing w:after="0"/>
              <w:rPr>
                <w:sz w:val="1"/>
                <w:szCs w:val="1"/>
                <w:color w:val="auto"/>
              </w:rPr>
            </w:pPr>
          </w:p>
        </w:tc>
      </w:tr>
      <w:tr>
        <w:trPr>
          <w:trHeight w:val="126"/>
        </w:trPr>
        <w:tc>
          <w:tcPr>
            <w:tcW w:w="35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(Cayman), L.P.</w:t>
            </w:r>
          </w:p>
        </w:tc>
        <w:tc>
          <w:tcPr>
            <w:tcW w:w="4260" w:type="dxa"/>
            <w:vAlign w:val="bottom"/>
            <w:tcBorders>
              <w:right w:val="single" w:sz="8" w:color="auto"/>
            </w:tcBorders>
            <w:vMerge w:val="continue"/>
          </w:tcPr>
          <w:p>
            <w:pPr>
              <w:spacing w:after="0"/>
              <w:rPr>
                <w:sz w:val="10"/>
                <w:szCs w:val="10"/>
                <w:color w:val="auto"/>
              </w:rPr>
            </w:pPr>
          </w:p>
        </w:tc>
        <w:tc>
          <w:tcPr>
            <w:tcW w:w="34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426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Taconic Opportunity Master Fund L.P.</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$2,481,526.31</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$7,444,578.93</w:t>
            </w:r>
          </w:p>
        </w:tc>
        <w:tc>
          <w:tcPr>
            <w:tcW w:w="0" w:type="dxa"/>
            <w:vAlign w:val="bottom"/>
          </w:tcPr>
          <w:p>
            <w:pPr>
              <w:spacing w:after="0"/>
              <w:rPr>
                <w:sz w:val="1"/>
                <w:szCs w:val="1"/>
                <w:color w:val="auto"/>
              </w:rPr>
            </w:pP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Third Point Loan LLC</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$8,391,122.04</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$25,173,366.12</w:t>
            </w:r>
          </w:p>
        </w:tc>
        <w:tc>
          <w:tcPr>
            <w:tcW w:w="0" w:type="dxa"/>
            <w:vAlign w:val="bottom"/>
          </w:tcPr>
          <w:p>
            <w:pPr>
              <w:spacing w:after="0"/>
              <w:rPr>
                <w:sz w:val="1"/>
                <w:szCs w:val="1"/>
                <w:color w:val="auto"/>
              </w:rPr>
            </w:pP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Botticelli, LLC</w:t>
            </w:r>
          </w:p>
        </w:tc>
        <w:tc>
          <w:tcPr>
            <w:tcW w:w="4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$3,048,883.49</w:t>
            </w:r>
          </w:p>
        </w:tc>
        <w:tc>
          <w:tcPr>
            <w:tcW w:w="3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$9,146,650.47</w:t>
            </w:r>
          </w:p>
        </w:tc>
        <w:tc>
          <w:tcPr>
            <w:tcW w:w="0" w:type="dxa"/>
            <w:vAlign w:val="bottom"/>
          </w:tcPr>
          <w:p>
            <w:pPr>
              <w:spacing w:after="0"/>
              <w:rPr>
                <w:sz w:val="1"/>
                <w:szCs w:val="1"/>
                <w:color w:val="auto"/>
              </w:rPr>
            </w:pPr>
          </w:p>
        </w:tc>
      </w:tr>
      <w:tr>
        <w:trPr>
          <w:trHeight w:val="210"/>
        </w:trPr>
        <w:tc>
          <w:tcPr>
            <w:tcW w:w="3520" w:type="dxa"/>
            <w:vAlign w:val="bottom"/>
            <w:tcBorders>
              <w:left w:val="single" w:sz="8" w:color="auto"/>
              <w:bottom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rPr>
              <w:t>$28,800,000.00</w:t>
            </w:r>
          </w:p>
        </w:tc>
        <w:tc>
          <w:tcPr>
            <w:tcW w:w="34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$86,400,000.00</w:t>
            </w:r>
          </w:p>
        </w:tc>
        <w:tc>
          <w:tcPr>
            <w:tcW w:w="0" w:type="dxa"/>
            <w:vAlign w:val="bottom"/>
          </w:tcPr>
          <w:p>
            <w:pPr>
              <w:spacing w:after="0"/>
              <w:rPr>
                <w:sz w:val="1"/>
                <w:szCs w:val="1"/>
                <w:color w:val="auto"/>
              </w:rPr>
            </w:pPr>
          </w:p>
        </w:tc>
      </w:tr>
      <w:tr>
        <w:trPr>
          <w:trHeight w:val="425"/>
        </w:trPr>
        <w:tc>
          <w:tcPr>
            <w:tcW w:w="35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b w:val="1"/>
          <w:bCs w:val="1"/>
          <w:color w:val="auto"/>
        </w:rPr>
        <w:t>B. Twin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280" w:type="dxa"/>
            <w:vAlign w:val="bottom"/>
            <w:tcBorders>
              <w:top w:val="single" w:sz="8" w:color="auto"/>
              <w:left w:val="single" w:sz="8" w:color="auto"/>
              <w:right w:val="single" w:sz="8" w:color="auto"/>
            </w:tcBorders>
            <w:shd w:val="clear" w:color="auto" w:fill="D9D9D9"/>
          </w:tcPr>
          <w:p>
            <w:pPr>
              <w:spacing w:after="0"/>
              <w:rPr>
                <w:sz w:val="18"/>
                <w:szCs w:val="18"/>
                <w:color w:val="auto"/>
              </w:rPr>
            </w:pPr>
          </w:p>
        </w:tc>
        <w:tc>
          <w:tcPr>
            <w:tcW w:w="1680" w:type="dxa"/>
            <w:vAlign w:val="bottom"/>
            <w:tcBorders>
              <w:top w:val="single" w:sz="8" w:color="auto"/>
              <w:right w:val="single" w:sz="8" w:color="auto"/>
            </w:tcBorders>
            <w:shd w:val="clear" w:color="auto" w:fill="D9D9D9"/>
          </w:tcPr>
          <w:p>
            <w:pPr>
              <w:spacing w:after="0"/>
              <w:rPr>
                <w:sz w:val="18"/>
                <w:szCs w:val="18"/>
                <w:color w:val="auto"/>
              </w:rPr>
            </w:pPr>
          </w:p>
        </w:tc>
        <w:tc>
          <w:tcPr>
            <w:tcW w:w="158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Twin New Money</w:t>
            </w:r>
          </w:p>
        </w:tc>
        <w:tc>
          <w:tcPr>
            <w:tcW w:w="1580" w:type="dxa"/>
            <w:vAlign w:val="bottom"/>
            <w:tcBorders>
              <w:top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Maximum Roll-</w:t>
            </w:r>
          </w:p>
        </w:tc>
        <w:tc>
          <w:tcPr>
            <w:tcW w:w="15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Twin Senior Roll-</w:t>
            </w:r>
          </w:p>
        </w:tc>
        <w:tc>
          <w:tcPr>
            <w:tcW w:w="15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Twin Junior</w:t>
            </w:r>
          </w:p>
        </w:tc>
        <w:tc>
          <w:tcPr>
            <w:tcW w:w="0" w:type="dxa"/>
            <w:vAlign w:val="bottom"/>
          </w:tcPr>
          <w:p>
            <w:pPr>
              <w:spacing w:after="0"/>
              <w:rPr>
                <w:sz w:val="1"/>
                <w:szCs w:val="1"/>
                <w:color w:val="auto"/>
              </w:rPr>
            </w:pPr>
          </w:p>
        </w:tc>
      </w:tr>
      <w:tr>
        <w:trPr>
          <w:trHeight w:val="108"/>
        </w:trPr>
        <w:tc>
          <w:tcPr>
            <w:tcW w:w="3280" w:type="dxa"/>
            <w:vAlign w:val="bottom"/>
            <w:tcBorders>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1680" w:type="dxa"/>
            <w:vAlign w:val="bottom"/>
            <w:tcBorders>
              <w:right w:val="single" w:sz="8" w:color="auto"/>
            </w:tcBorders>
            <w:vMerge w:val="restart"/>
            <w:shd w:val="clear" w:color="auto" w:fill="D9D9D9"/>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Twin DIP Facility</w:t>
            </w:r>
          </w:p>
        </w:tc>
        <w:tc>
          <w:tcPr>
            <w:tcW w:w="1580" w:type="dxa"/>
            <w:vAlign w:val="bottom"/>
            <w:tcBorders>
              <w:right w:val="single" w:sz="8" w:color="auto"/>
            </w:tcBorders>
            <w:vMerge w:val="continue"/>
            <w:shd w:val="clear" w:color="auto" w:fill="D9D9D9"/>
          </w:tcPr>
          <w:p>
            <w:pPr>
              <w:spacing w:after="0"/>
              <w:rPr>
                <w:sz w:val="9"/>
                <w:szCs w:val="9"/>
                <w:color w:val="auto"/>
              </w:rPr>
            </w:pPr>
          </w:p>
        </w:tc>
        <w:tc>
          <w:tcPr>
            <w:tcW w:w="1580" w:type="dxa"/>
            <w:vAlign w:val="bottom"/>
            <w:tcBorders>
              <w:right w:val="single" w:sz="8" w:color="auto"/>
            </w:tcBorders>
            <w:vMerge w:val="continue"/>
            <w:shd w:val="clear" w:color="auto" w:fill="D9D9D9"/>
          </w:tcPr>
          <w:p>
            <w:pPr>
              <w:spacing w:after="0"/>
              <w:rPr>
                <w:sz w:val="9"/>
                <w:szCs w:val="9"/>
                <w:color w:val="auto"/>
              </w:rPr>
            </w:pPr>
          </w:p>
        </w:tc>
        <w:tc>
          <w:tcPr>
            <w:tcW w:w="15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Up</w:t>
            </w:r>
          </w:p>
        </w:tc>
        <w:tc>
          <w:tcPr>
            <w:tcW w:w="15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Roll-Up</w:t>
            </w:r>
          </w:p>
        </w:tc>
        <w:tc>
          <w:tcPr>
            <w:tcW w:w="0" w:type="dxa"/>
            <w:vAlign w:val="bottom"/>
          </w:tcPr>
          <w:p>
            <w:pPr>
              <w:spacing w:after="0"/>
              <w:rPr>
                <w:sz w:val="1"/>
                <w:szCs w:val="1"/>
                <w:color w:val="auto"/>
              </w:rPr>
            </w:pPr>
          </w:p>
        </w:tc>
      </w:tr>
      <w:tr>
        <w:trPr>
          <w:trHeight w:val="108"/>
        </w:trPr>
        <w:tc>
          <w:tcPr>
            <w:tcW w:w="3280" w:type="dxa"/>
            <w:vAlign w:val="bottom"/>
            <w:tcBorders>
              <w:left w:val="single" w:sz="8" w:color="auto"/>
              <w:right w:val="single" w:sz="8" w:color="auto"/>
            </w:tcBorders>
            <w:vMerge w:val="continue"/>
            <w:shd w:val="clear" w:color="auto" w:fill="D9D9D9"/>
          </w:tcPr>
          <w:p>
            <w:pPr>
              <w:spacing w:after="0"/>
              <w:rPr>
                <w:sz w:val="9"/>
                <w:szCs w:val="9"/>
                <w:color w:val="auto"/>
              </w:rPr>
            </w:pPr>
          </w:p>
        </w:tc>
        <w:tc>
          <w:tcPr>
            <w:tcW w:w="1680" w:type="dxa"/>
            <w:vAlign w:val="bottom"/>
            <w:tcBorders>
              <w:right w:val="single" w:sz="8" w:color="auto"/>
            </w:tcBorders>
            <w:vMerge w:val="continue"/>
            <w:shd w:val="clear" w:color="auto" w:fill="D9D9D9"/>
          </w:tcPr>
          <w:p>
            <w:pPr>
              <w:spacing w:after="0"/>
              <w:rPr>
                <w:sz w:val="9"/>
                <w:szCs w:val="9"/>
                <w:color w:val="auto"/>
              </w:rPr>
            </w:pPr>
          </w:p>
        </w:tc>
        <w:tc>
          <w:tcPr>
            <w:tcW w:w="15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Term Facility</w:t>
            </w:r>
          </w:p>
        </w:tc>
        <w:tc>
          <w:tcPr>
            <w:tcW w:w="158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Up Loan Amount</w:t>
            </w:r>
          </w:p>
        </w:tc>
        <w:tc>
          <w:tcPr>
            <w:tcW w:w="1560" w:type="dxa"/>
            <w:vAlign w:val="bottom"/>
            <w:tcBorders>
              <w:right w:val="single" w:sz="8" w:color="auto"/>
            </w:tcBorders>
            <w:vMerge w:val="continue"/>
            <w:shd w:val="clear" w:color="auto" w:fill="D9D9D9"/>
          </w:tcPr>
          <w:p>
            <w:pPr>
              <w:spacing w:after="0"/>
              <w:rPr>
                <w:sz w:val="9"/>
                <w:szCs w:val="9"/>
                <w:color w:val="auto"/>
              </w:rPr>
            </w:pPr>
          </w:p>
        </w:tc>
        <w:tc>
          <w:tcPr>
            <w:tcW w:w="1560" w:type="dxa"/>
            <w:vAlign w:val="bottom"/>
            <w:tcBorders>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280" w:type="dxa"/>
            <w:vAlign w:val="bottom"/>
            <w:tcBorders>
              <w:left w:val="single" w:sz="8" w:color="auto"/>
              <w:right w:val="single" w:sz="8" w:color="auto"/>
            </w:tcBorders>
            <w:shd w:val="clear" w:color="auto" w:fill="D9D9D9"/>
          </w:tcPr>
          <w:p>
            <w:pPr>
              <w:spacing w:after="0"/>
              <w:rPr>
                <w:sz w:val="11"/>
                <w:szCs w:val="11"/>
                <w:color w:val="auto"/>
              </w:rPr>
            </w:pPr>
          </w:p>
        </w:tc>
        <w:tc>
          <w:tcPr>
            <w:tcW w:w="1680" w:type="dxa"/>
            <w:vAlign w:val="bottom"/>
            <w:tcBorders>
              <w:right w:val="single" w:sz="8" w:color="auto"/>
            </w:tcBorders>
            <w:shd w:val="clear" w:color="auto" w:fill="D9D9D9"/>
          </w:tcPr>
          <w:p>
            <w:pPr>
              <w:spacing w:after="0"/>
              <w:rPr>
                <w:sz w:val="11"/>
                <w:szCs w:val="11"/>
                <w:color w:val="auto"/>
              </w:rPr>
            </w:pPr>
          </w:p>
        </w:tc>
        <w:tc>
          <w:tcPr>
            <w:tcW w:w="1580" w:type="dxa"/>
            <w:vAlign w:val="bottom"/>
            <w:tcBorders>
              <w:right w:val="single" w:sz="8" w:color="auto"/>
            </w:tcBorders>
            <w:vMerge w:val="continue"/>
            <w:shd w:val="clear" w:color="auto" w:fill="D9D9D9"/>
          </w:tcPr>
          <w:p>
            <w:pPr>
              <w:spacing w:after="0"/>
              <w:rPr>
                <w:sz w:val="11"/>
                <w:szCs w:val="11"/>
                <w:color w:val="auto"/>
              </w:rPr>
            </w:pPr>
          </w:p>
        </w:tc>
        <w:tc>
          <w:tcPr>
            <w:tcW w:w="1580" w:type="dxa"/>
            <w:vAlign w:val="bottom"/>
            <w:tcBorders>
              <w:right w:val="single" w:sz="8" w:color="auto"/>
            </w:tcBorders>
            <w:vMerge w:val="continue"/>
            <w:shd w:val="clear" w:color="auto" w:fill="D9D9D9"/>
          </w:tcPr>
          <w:p>
            <w:pPr>
              <w:spacing w:after="0"/>
              <w:rPr>
                <w:sz w:val="11"/>
                <w:szCs w:val="11"/>
                <w:color w:val="auto"/>
              </w:rPr>
            </w:pPr>
          </w:p>
        </w:tc>
        <w:tc>
          <w:tcPr>
            <w:tcW w:w="15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Financing</w:t>
            </w:r>
          </w:p>
        </w:tc>
        <w:tc>
          <w:tcPr>
            <w:tcW w:w="15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Financing</w:t>
            </w:r>
          </w:p>
        </w:tc>
        <w:tc>
          <w:tcPr>
            <w:tcW w:w="0" w:type="dxa"/>
            <w:vAlign w:val="bottom"/>
          </w:tcPr>
          <w:p>
            <w:pPr>
              <w:spacing w:after="0"/>
              <w:rPr>
                <w:sz w:val="1"/>
                <w:szCs w:val="1"/>
                <w:color w:val="auto"/>
              </w:rPr>
            </w:pPr>
          </w:p>
        </w:tc>
      </w:tr>
      <w:tr>
        <w:trPr>
          <w:trHeight w:val="108"/>
        </w:trPr>
        <w:tc>
          <w:tcPr>
            <w:tcW w:w="328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1680" w:type="dxa"/>
            <w:vAlign w:val="bottom"/>
            <w:tcBorders>
              <w:bottom w:val="single" w:sz="8" w:color="auto"/>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shd w:val="clear" w:color="auto" w:fill="D9D9D9"/>
          </w:tcPr>
          <w:p>
            <w:pPr>
              <w:spacing w:after="0"/>
              <w:rPr>
                <w:sz w:val="9"/>
                <w:szCs w:val="9"/>
                <w:color w:val="auto"/>
              </w:rPr>
            </w:pPr>
          </w:p>
        </w:tc>
        <w:tc>
          <w:tcPr>
            <w:tcW w:w="1580" w:type="dxa"/>
            <w:vAlign w:val="bottom"/>
            <w:tcBorders>
              <w:bottom w:val="single" w:sz="8" w:color="auto"/>
              <w:right w:val="single" w:sz="8" w:color="auto"/>
            </w:tcBorders>
            <w:shd w:val="clear" w:color="auto" w:fill="D9D9D9"/>
          </w:tcPr>
          <w:p>
            <w:pPr>
              <w:spacing w:after="0"/>
              <w:rPr>
                <w:sz w:val="9"/>
                <w:szCs w:val="9"/>
                <w:color w:val="auto"/>
              </w:rPr>
            </w:pPr>
          </w:p>
        </w:tc>
        <w:tc>
          <w:tcPr>
            <w:tcW w:w="156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156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Axonic Strategic Income Fund</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$13,106,615.16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$3,276,653.79</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$9,829,961.37</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$1,269,118.55</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$8,560,842.82</w:t>
            </w:r>
          </w:p>
        </w:tc>
        <w:tc>
          <w:tcPr>
            <w:tcW w:w="0" w:type="dxa"/>
            <w:vAlign w:val="bottom"/>
          </w:tcPr>
          <w:p>
            <w:pPr>
              <w:spacing w:after="0"/>
              <w:rPr>
                <w:sz w:val="1"/>
                <w:szCs w:val="1"/>
                <w:color w:val="auto"/>
              </w:rPr>
            </w:pPr>
          </w:p>
        </w:tc>
      </w:tr>
      <w:tr>
        <w:trPr>
          <w:trHeight w:val="209"/>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Axonic Alternative Income Fund</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1"/>
        </w:trPr>
        <w:tc>
          <w:tcPr>
            <w:tcW w:w="32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Axonic Commercial Real Estate Debt</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6"/>
        </w:trPr>
        <w:tc>
          <w:tcPr>
            <w:tcW w:w="3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Master Fund</w:t>
            </w:r>
          </w:p>
        </w:tc>
        <w:tc>
          <w:tcPr>
            <w:tcW w:w="16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2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Axonic Structured Opportunities Master</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6"/>
        </w:trPr>
        <w:tc>
          <w:tcPr>
            <w:tcW w:w="3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Fund, LP</w:t>
            </w:r>
          </w:p>
        </w:tc>
        <w:tc>
          <w:tcPr>
            <w:tcW w:w="16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Barclays Bank PLC</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$5,614,967.00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$1,403,741.75</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$4,211,225.25</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$4,211,225.25</w:t>
            </w:r>
          </w:p>
        </w:tc>
        <w:tc>
          <w:tcPr>
            <w:tcW w:w="0" w:type="dxa"/>
            <w:vAlign w:val="bottom"/>
          </w:tcPr>
          <w:p>
            <w:pPr>
              <w:spacing w:after="0"/>
              <w:rPr>
                <w:sz w:val="1"/>
                <w:szCs w:val="1"/>
                <w:color w:val="auto"/>
              </w:rPr>
            </w:pPr>
          </w:p>
        </w:tc>
      </w:tr>
      <w:tr>
        <w:trPr>
          <w:trHeight w:val="209"/>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FFI Fund Ltd.</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$6,251,186.96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$1,562,796.74</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$4,688,390.22</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$4,688,390.22</w:t>
            </w:r>
          </w:p>
        </w:tc>
        <w:tc>
          <w:tcPr>
            <w:tcW w:w="0" w:type="dxa"/>
            <w:vAlign w:val="bottom"/>
          </w:tcPr>
          <w:p>
            <w:pPr>
              <w:spacing w:after="0"/>
              <w:rPr>
                <w:sz w:val="1"/>
                <w:szCs w:val="1"/>
                <w:color w:val="auto"/>
              </w:rPr>
            </w:pPr>
          </w:p>
        </w:tc>
      </w:tr>
      <w:tr>
        <w:trPr>
          <w:trHeight w:val="209"/>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FYI Ltd.</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$1,232,628.40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$308,157.10</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$924,471.30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$924,471.30</w:t>
            </w:r>
          </w:p>
        </w:tc>
        <w:tc>
          <w:tcPr>
            <w:tcW w:w="0" w:type="dxa"/>
            <w:vAlign w:val="bottom"/>
          </w:tcPr>
          <w:p>
            <w:pPr>
              <w:spacing w:after="0"/>
              <w:rPr>
                <w:sz w:val="1"/>
                <w:szCs w:val="1"/>
                <w:color w:val="auto"/>
              </w:rPr>
            </w:pPr>
          </w:p>
        </w:tc>
      </w:tr>
      <w:tr>
        <w:trPr>
          <w:trHeight w:val="210"/>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Olifant Fund, Ltd.</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$1,320,673.28</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$330,168.32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$990,504.96</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$990,504.96</w:t>
            </w:r>
          </w:p>
        </w:tc>
        <w:tc>
          <w:tcPr>
            <w:tcW w:w="0" w:type="dxa"/>
            <w:vAlign w:val="bottom"/>
          </w:tcPr>
          <w:p>
            <w:pPr>
              <w:spacing w:after="0"/>
              <w:rPr>
                <w:sz w:val="1"/>
                <w:szCs w:val="1"/>
                <w:color w:val="auto"/>
              </w:rPr>
            </w:pPr>
          </w:p>
        </w:tc>
      </w:tr>
      <w:tr>
        <w:trPr>
          <w:trHeight w:val="209"/>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Brigade Structured Credit Fund Ltd.</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Boston Patriot Beacon St LLC</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River Canyon Total Return Bond Fund</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$11,292,713.76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$2,823,178.44</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$8,469,535.32</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$7,846,981.94</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$622,553.38</w:t>
            </w:r>
          </w:p>
        </w:tc>
        <w:tc>
          <w:tcPr>
            <w:tcW w:w="0" w:type="dxa"/>
            <w:vAlign w:val="bottom"/>
          </w:tcPr>
          <w:p>
            <w:pPr>
              <w:spacing w:after="0"/>
              <w:rPr>
                <w:sz w:val="1"/>
                <w:szCs w:val="1"/>
                <w:color w:val="auto"/>
              </w:rPr>
            </w:pPr>
          </w:p>
        </w:tc>
      </w:tr>
      <w:tr>
        <w:trPr>
          <w:trHeight w:val="209"/>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River Canyon Structured Products Fund</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1"/>
        </w:trPr>
        <w:tc>
          <w:tcPr>
            <w:tcW w:w="32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Taconic Market Dislocation Master Fund</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$2,225,960.56</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$556,490.14</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$1,669,470.42</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$1,669,470.42</w:t>
            </w:r>
          </w:p>
        </w:tc>
        <w:tc>
          <w:tcPr>
            <w:tcW w:w="0" w:type="dxa"/>
            <w:vAlign w:val="bottom"/>
          </w:tcPr>
          <w:p>
            <w:pPr>
              <w:spacing w:after="0"/>
              <w:rPr>
                <w:sz w:val="1"/>
                <w:szCs w:val="1"/>
                <w:color w:val="auto"/>
              </w:rPr>
            </w:pPr>
          </w:p>
        </w:tc>
      </w:tr>
      <w:tr>
        <w:trPr>
          <w:trHeight w:val="126"/>
        </w:trPr>
        <w:tc>
          <w:tcPr>
            <w:tcW w:w="3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III (Cayman), L.P.</w:t>
            </w:r>
          </w:p>
        </w:tc>
        <w:tc>
          <w:tcPr>
            <w:tcW w:w="16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2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Taconic Opportunity Master Fund L.P.</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Third Point Loan LLC</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$38,268,695.16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$9,567,173.79</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$28,701,521.37</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$3,568,807.39</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$25,132,713.98</w:t>
            </w:r>
          </w:p>
        </w:tc>
        <w:tc>
          <w:tcPr>
            <w:tcW w:w="0" w:type="dxa"/>
            <w:vAlign w:val="bottom"/>
          </w:tcPr>
          <w:p>
            <w:pPr>
              <w:spacing w:after="0"/>
              <w:rPr>
                <w:sz w:val="1"/>
                <w:szCs w:val="1"/>
                <w:color w:val="auto"/>
              </w:rPr>
            </w:pPr>
          </w:p>
        </w:tc>
      </w:tr>
      <w:tr>
        <w:trPr>
          <w:trHeight w:val="209"/>
        </w:trPr>
        <w:tc>
          <w:tcPr>
            <w:tcW w:w="32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Botticelli, LLC</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$43,726,559.72</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$10,931,639.93</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$32,794,919.79</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$32,794,919.79</w:t>
            </w:r>
          </w:p>
        </w:tc>
        <w:tc>
          <w:tcPr>
            <w:tcW w:w="0" w:type="dxa"/>
            <w:vAlign w:val="bottom"/>
          </w:tcPr>
          <w:p>
            <w:pPr>
              <w:spacing w:after="0"/>
              <w:rPr>
                <w:sz w:val="1"/>
                <w:szCs w:val="1"/>
                <w:color w:val="auto"/>
              </w:rPr>
            </w:pPr>
          </w:p>
        </w:tc>
      </w:tr>
      <w:tr>
        <w:trPr>
          <w:trHeight w:val="209"/>
        </w:trPr>
        <w:tc>
          <w:tcPr>
            <w:tcW w:w="3280" w:type="dxa"/>
            <w:vAlign w:val="bottom"/>
            <w:tcBorders>
              <w:left w:val="single" w:sz="8" w:color="auto"/>
              <w:bottom w:val="single" w:sz="8" w:color="auto"/>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tcBorders>
              <w:bottom w:val="single" w:sz="8" w:color="auto"/>
              <w:right w:val="single" w:sz="8" w:color="auto"/>
            </w:tcBorders>
            <w:shd w:val="clear" w:color="auto" w:fill="BFBFB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$123,040,000.00</w:t>
            </w:r>
          </w:p>
        </w:tc>
        <w:tc>
          <w:tcPr>
            <w:tcW w:w="15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$30,760,000.00</w:t>
            </w:r>
          </w:p>
        </w:tc>
        <w:tc>
          <w:tcPr>
            <w:tcW w:w="15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$92,280,000.00</w:t>
            </w:r>
          </w:p>
        </w:tc>
        <w:tc>
          <w:tcPr>
            <w:tcW w:w="15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$12,684,907.88</w:t>
            </w:r>
          </w:p>
        </w:tc>
        <w:tc>
          <w:tcPr>
            <w:tcW w:w="15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rPr>
              <w:t>$79,595,092.12</w:t>
            </w:r>
          </w:p>
        </w:tc>
        <w:tc>
          <w:tcPr>
            <w:tcW w:w="0" w:type="dxa"/>
            <w:vAlign w:val="bottom"/>
          </w:tcPr>
          <w:p>
            <w:pPr>
              <w:spacing w:after="0"/>
              <w:rPr>
                <w:sz w:val="1"/>
                <w:szCs w:val="1"/>
                <w:color w:val="auto"/>
              </w:rPr>
            </w:pPr>
          </w:p>
        </w:tc>
      </w:tr>
      <w:tr>
        <w:trPr>
          <w:trHeight w:val="426"/>
        </w:trPr>
        <w:tc>
          <w:tcPr>
            <w:tcW w:w="32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21" w:name="page122"/>
    <w:bookmarkEnd w:id="12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420" w:type="dxa"/>
            <w:vAlign w:val="bottom"/>
            <w:tcBorders>
              <w:top w:val="single" w:sz="8" w:color="auto"/>
              <w:left w:val="single" w:sz="8" w:color="auto"/>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Lender</w:t>
            </w:r>
          </w:p>
        </w:tc>
        <w:tc>
          <w:tcPr>
            <w:tcW w:w="29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Twin New Money Term Loans</w:t>
            </w:r>
          </w:p>
        </w:tc>
        <w:tc>
          <w:tcPr>
            <w:tcW w:w="29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Roll-Up Loan Amount with Respect</w:t>
            </w:r>
          </w:p>
        </w:tc>
        <w:tc>
          <w:tcPr>
            <w:tcW w:w="0" w:type="dxa"/>
            <w:vAlign w:val="bottom"/>
          </w:tcPr>
          <w:p>
            <w:pPr>
              <w:spacing w:after="0"/>
              <w:rPr>
                <w:sz w:val="1"/>
                <w:szCs w:val="1"/>
                <w:color w:val="auto"/>
              </w:rPr>
            </w:pPr>
          </w:p>
        </w:tc>
      </w:tr>
      <w:tr>
        <w:trPr>
          <w:trHeight w:val="130"/>
        </w:trPr>
        <w:tc>
          <w:tcPr>
            <w:tcW w:w="542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9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Borrowed on Closing Date</w:t>
            </w:r>
          </w:p>
        </w:tc>
        <w:tc>
          <w:tcPr>
            <w:tcW w:w="290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 Borrowing on Closing Date</w:t>
            </w:r>
          </w:p>
        </w:tc>
        <w:tc>
          <w:tcPr>
            <w:tcW w:w="0" w:type="dxa"/>
            <w:vAlign w:val="bottom"/>
          </w:tcPr>
          <w:p>
            <w:pPr>
              <w:spacing w:after="0"/>
              <w:rPr>
                <w:sz w:val="1"/>
                <w:szCs w:val="1"/>
                <w:color w:val="auto"/>
              </w:rPr>
            </w:pPr>
          </w:p>
        </w:tc>
      </w:tr>
      <w:tr>
        <w:trPr>
          <w:trHeight w:val="108"/>
        </w:trPr>
        <w:tc>
          <w:tcPr>
            <w:tcW w:w="5420" w:type="dxa"/>
            <w:vAlign w:val="bottom"/>
            <w:tcBorders>
              <w:left w:val="single" w:sz="8" w:color="auto"/>
              <w:bottom w:val="single" w:sz="8" w:color="auto"/>
              <w:right w:val="single" w:sz="8" w:color="auto"/>
            </w:tcBorders>
            <w:shd w:val="clear" w:color="auto" w:fill="D9D9D9"/>
          </w:tcPr>
          <w:p>
            <w:pPr>
              <w:spacing w:after="0"/>
              <w:rPr>
                <w:sz w:val="9"/>
                <w:szCs w:val="9"/>
                <w:color w:val="auto"/>
              </w:rPr>
            </w:pPr>
          </w:p>
        </w:tc>
        <w:tc>
          <w:tcPr>
            <w:tcW w:w="292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290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Axonic Strategic Income Fund</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$2,045,245.54</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$6,135,736.62</w:t>
            </w:r>
          </w:p>
        </w:tc>
        <w:tc>
          <w:tcPr>
            <w:tcW w:w="0" w:type="dxa"/>
            <w:vAlign w:val="bottom"/>
          </w:tcPr>
          <w:p>
            <w:pPr>
              <w:spacing w:after="0"/>
              <w:rPr>
                <w:sz w:val="1"/>
                <w:szCs w:val="1"/>
                <w:color w:val="auto"/>
              </w:rPr>
            </w:pPr>
          </w:p>
        </w:tc>
      </w:tr>
      <w:tr>
        <w:trPr>
          <w:trHeight w:val="210"/>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Axonic Alternative Income Fund</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Axonic Commercial Real Estate Debt Master Fund</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Axonic Structured Opportunities Master Fund, LP</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Barclays Bank PLC</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$876,197.71</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$2,628,593.13</w:t>
            </w:r>
          </w:p>
        </w:tc>
        <w:tc>
          <w:tcPr>
            <w:tcW w:w="0" w:type="dxa"/>
            <w:vAlign w:val="bottom"/>
          </w:tcPr>
          <w:p>
            <w:pPr>
              <w:spacing w:after="0"/>
              <w:rPr>
                <w:sz w:val="1"/>
                <w:szCs w:val="1"/>
                <w:color w:val="auto"/>
              </w:rPr>
            </w:pPr>
          </w:p>
        </w:tc>
      </w:tr>
      <w:tr>
        <w:trPr>
          <w:trHeight w:val="209"/>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FFI Fund Ltd.</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$975,477.81</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$2,926,433.43</w:t>
            </w:r>
          </w:p>
        </w:tc>
        <w:tc>
          <w:tcPr>
            <w:tcW w:w="0" w:type="dxa"/>
            <w:vAlign w:val="bottom"/>
          </w:tcPr>
          <w:p>
            <w:pPr>
              <w:spacing w:after="0"/>
              <w:rPr>
                <w:sz w:val="1"/>
                <w:szCs w:val="1"/>
                <w:color w:val="auto"/>
              </w:rPr>
            </w:pPr>
          </w:p>
        </w:tc>
      </w:tr>
      <w:tr>
        <w:trPr>
          <w:trHeight w:val="209"/>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FYI Ltd.</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$192,347.73</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$577,043.19</w:t>
            </w:r>
          </w:p>
        </w:tc>
        <w:tc>
          <w:tcPr>
            <w:tcW w:w="0" w:type="dxa"/>
            <w:vAlign w:val="bottom"/>
          </w:tcPr>
          <w:p>
            <w:pPr>
              <w:spacing w:after="0"/>
              <w:rPr>
                <w:sz w:val="1"/>
                <w:szCs w:val="1"/>
                <w:color w:val="auto"/>
              </w:rPr>
            </w:pPr>
          </w:p>
        </w:tc>
      </w:tr>
      <w:tr>
        <w:trPr>
          <w:trHeight w:val="210"/>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Olifant Fund, Ltd.</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$206,086.86</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$618,260.58</w:t>
            </w:r>
          </w:p>
        </w:tc>
        <w:tc>
          <w:tcPr>
            <w:tcW w:w="0" w:type="dxa"/>
            <w:vAlign w:val="bottom"/>
          </w:tcPr>
          <w:p>
            <w:pPr>
              <w:spacing w:after="0"/>
              <w:rPr>
                <w:sz w:val="1"/>
                <w:szCs w:val="1"/>
                <w:color w:val="auto"/>
              </w:rPr>
            </w:pPr>
          </w:p>
        </w:tc>
      </w:tr>
      <w:tr>
        <w:trPr>
          <w:trHeight w:val="209"/>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Brigade Structured Credit Fund Ltd.</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Boston Patriot Beacon St LLC</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River Canyon Total Return Bond Fund</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$1,762,192.00</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$5,286,576.00</w:t>
            </w:r>
          </w:p>
        </w:tc>
        <w:tc>
          <w:tcPr>
            <w:tcW w:w="0" w:type="dxa"/>
            <w:vAlign w:val="bottom"/>
          </w:tcPr>
          <w:p>
            <w:pPr>
              <w:spacing w:after="0"/>
              <w:rPr>
                <w:sz w:val="1"/>
                <w:szCs w:val="1"/>
                <w:color w:val="auto"/>
              </w:rPr>
            </w:pPr>
          </w:p>
        </w:tc>
      </w:tr>
      <w:tr>
        <w:trPr>
          <w:trHeight w:val="209"/>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River Canyon Structured Products Fund</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Taconic Market Dislocation Master Fund III (Cayman), L.P.</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$347,354.05</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$1,042,062.15</w:t>
            </w:r>
          </w:p>
        </w:tc>
        <w:tc>
          <w:tcPr>
            <w:tcW w:w="0" w:type="dxa"/>
            <w:vAlign w:val="bottom"/>
          </w:tcPr>
          <w:p>
            <w:pPr>
              <w:spacing w:after="0"/>
              <w:rPr>
                <w:sz w:val="1"/>
                <w:szCs w:val="1"/>
                <w:color w:val="auto"/>
              </w:rPr>
            </w:pPr>
          </w:p>
        </w:tc>
      </w:tr>
      <w:tr>
        <w:trPr>
          <w:trHeight w:val="209"/>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Taconic Opportunity Master Fund L.P.</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0"/>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Third Point Loan LLC</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$5,971,707.96</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$17,915,123.88</w:t>
            </w:r>
          </w:p>
        </w:tc>
        <w:tc>
          <w:tcPr>
            <w:tcW w:w="0" w:type="dxa"/>
            <w:vAlign w:val="bottom"/>
          </w:tcPr>
          <w:p>
            <w:pPr>
              <w:spacing w:after="0"/>
              <w:rPr>
                <w:sz w:val="1"/>
                <w:szCs w:val="1"/>
                <w:color w:val="auto"/>
              </w:rPr>
            </w:pPr>
          </w:p>
        </w:tc>
      </w:tr>
      <w:tr>
        <w:trPr>
          <w:trHeight w:val="209"/>
        </w:trPr>
        <w:tc>
          <w:tcPr>
            <w:tcW w:w="5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Botticelli, LLC</w:t>
            </w: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$6,823,390.34</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$20,470,171.02</w:t>
            </w:r>
          </w:p>
        </w:tc>
        <w:tc>
          <w:tcPr>
            <w:tcW w:w="0" w:type="dxa"/>
            <w:vAlign w:val="bottom"/>
          </w:tcPr>
          <w:p>
            <w:pPr>
              <w:spacing w:after="0"/>
              <w:rPr>
                <w:sz w:val="1"/>
                <w:szCs w:val="1"/>
                <w:color w:val="auto"/>
              </w:rPr>
            </w:pPr>
          </w:p>
        </w:tc>
      </w:tr>
      <w:tr>
        <w:trPr>
          <w:trHeight w:val="209"/>
        </w:trPr>
        <w:tc>
          <w:tcPr>
            <w:tcW w:w="5420" w:type="dxa"/>
            <w:vAlign w:val="bottom"/>
            <w:tcBorders>
              <w:left w:val="single" w:sz="8" w:color="auto"/>
              <w:bottom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9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$19,200,000.00</w:t>
            </w:r>
          </w:p>
        </w:tc>
        <w:tc>
          <w:tcPr>
            <w:tcW w:w="290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$57,600,000.00</w:t>
            </w:r>
          </w:p>
        </w:tc>
        <w:tc>
          <w:tcPr>
            <w:tcW w:w="0" w:type="dxa"/>
            <w:vAlign w:val="bottom"/>
          </w:tcPr>
          <w:p>
            <w:pPr>
              <w:spacing w:after="0"/>
              <w:rPr>
                <w:sz w:val="1"/>
                <w:szCs w:val="1"/>
                <w:color w:val="auto"/>
              </w:rPr>
            </w:pPr>
          </w:p>
        </w:tc>
      </w:tr>
      <w:tr>
        <w:trPr>
          <w:trHeight w:val="426"/>
        </w:trPr>
        <w:tc>
          <w:tcPr>
            <w:tcW w:w="54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b w:val="1"/>
          <w:bCs w:val="1"/>
          <w:color w:val="auto"/>
        </w:rPr>
        <w:t>Schedule 1A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Permitted Debt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1: Surety Bonds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6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Surety</w:t>
            </w:r>
          </w:p>
        </w:tc>
        <w:tc>
          <w:tcPr>
            <w:tcW w:w="192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4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Beneficiary</w:t>
            </w:r>
          </w:p>
        </w:tc>
        <w:tc>
          <w:tcPr>
            <w:tcW w:w="11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Purpose</w:t>
            </w:r>
          </w:p>
        </w:tc>
        <w:tc>
          <w:tcPr>
            <w:tcW w:w="1260" w:type="dxa"/>
            <w:vAlign w:val="bottom"/>
            <w:tcBorders>
              <w:top w:val="single" w:sz="8" w:color="auto"/>
              <w:bottom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8"/>
                <w:szCs w:val="18"/>
                <w:b w:val="1"/>
                <w:bCs w:val="1"/>
                <w:color w:val="auto"/>
              </w:rPr>
              <w:t>Bond Number</w:t>
            </w:r>
          </w:p>
        </w:tc>
        <w:tc>
          <w:tcPr>
            <w:tcW w:w="170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Total Bond Amount</w:t>
            </w:r>
          </w:p>
        </w:tc>
        <w:tc>
          <w:tcPr>
            <w:tcW w:w="1120" w:type="dxa"/>
            <w:vAlign w:val="bottom"/>
            <w:tcBorders>
              <w:top w:val="single" w:sz="8" w:color="auto"/>
              <w:bottom w:val="single" w:sz="8" w:color="auto"/>
              <w:right w:val="single" w:sz="8" w:color="auto"/>
            </w:tcBorders>
            <w:shd w:val="clear" w:color="auto" w:fill="D9D9D9"/>
          </w:tcPr>
          <w:p>
            <w:pPr>
              <w:ind w:left="200"/>
              <w:spacing w:after="0"/>
              <w:rPr>
                <w:sz w:val="20"/>
                <w:szCs w:val="20"/>
                <w:color w:val="auto"/>
              </w:rPr>
            </w:pPr>
            <w:r>
              <w:rPr>
                <w:rFonts w:ascii="Times New Roman" w:cs="Times New Roman" w:eastAsia="Times New Roman" w:hAnsi="Times New Roman"/>
                <w:sz w:val="18"/>
                <w:szCs w:val="18"/>
                <w:b w:val="1"/>
                <w:bCs w:val="1"/>
                <w:color w:val="auto"/>
              </w:rPr>
              <w:t>Premium</w:t>
            </w:r>
          </w:p>
        </w:tc>
        <w:tc>
          <w:tcPr>
            <w:tcW w:w="140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Westchester</w:t>
            </w:r>
          </w:p>
        </w:tc>
        <w:tc>
          <w:tcPr>
            <w:tcW w:w="1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Barbeque Integrated,</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State</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Liquor</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Fire Insurance</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Inc. dba Smokey Bones</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Liquor</w:t>
            </w: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K07796365</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License</w:t>
            </w:r>
          </w:p>
        </w:tc>
        <w:tc>
          <w:tcPr>
            <w:tcW w:w="126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Barbeque &amp; Grill #7617</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Authority</w:t>
            </w: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vMerge w:val="continue"/>
          </w:tcPr>
          <w:p>
            <w:pPr>
              <w:spacing w:after="0"/>
              <w:rPr>
                <w:sz w:val="9"/>
                <w:szCs w:val="9"/>
                <w:color w:val="auto"/>
              </w:rPr>
            </w:pPr>
          </w:p>
        </w:tc>
        <w:tc>
          <w:tcPr>
            <w:tcW w:w="1400" w:type="dxa"/>
            <w:vAlign w:val="bottom"/>
            <w:tcBorders>
              <w:bottom w:val="single" w:sz="8" w:color="auto"/>
              <w:right w:val="single" w:sz="8" w:color="auto"/>
            </w:tcBorders>
            <w:vMerge w:val="continue"/>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Westchester</w:t>
            </w:r>
          </w:p>
        </w:tc>
        <w:tc>
          <w:tcPr>
            <w:tcW w:w="1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Barbeque Integrated,</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State</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Liquor</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Fire Insurance</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Inc. dba Smokey Bones</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Liquor</w:t>
            </w: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K0779633A</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License</w:t>
            </w:r>
          </w:p>
        </w:tc>
        <w:tc>
          <w:tcPr>
            <w:tcW w:w="126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Barbeque &amp; Grill #7576</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Authority</w:t>
            </w: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vMerge w:val="continue"/>
          </w:tcPr>
          <w:p>
            <w:pPr>
              <w:spacing w:after="0"/>
              <w:rPr>
                <w:sz w:val="9"/>
                <w:szCs w:val="9"/>
                <w:color w:val="auto"/>
              </w:rPr>
            </w:pPr>
          </w:p>
        </w:tc>
        <w:tc>
          <w:tcPr>
            <w:tcW w:w="1400" w:type="dxa"/>
            <w:vAlign w:val="bottom"/>
            <w:tcBorders>
              <w:bottom w:val="single" w:sz="8" w:color="auto"/>
              <w:right w:val="single" w:sz="8" w:color="auto"/>
            </w:tcBorders>
            <w:vMerge w:val="continue"/>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Westchester</w:t>
            </w:r>
          </w:p>
        </w:tc>
        <w:tc>
          <w:tcPr>
            <w:tcW w:w="1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Barbeque Integrated,</w:t>
            </w:r>
          </w:p>
        </w:tc>
        <w:tc>
          <w:tcPr>
            <w:tcW w:w="14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State</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Liquor</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Fire Insurance</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Inc. dba Smokey Bones</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Liquor</w:t>
            </w: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K07796389</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License</w:t>
            </w:r>
          </w:p>
        </w:tc>
        <w:tc>
          <w:tcPr>
            <w:tcW w:w="126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Barbeque &amp; Grill #7583</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Authority</w:t>
            </w: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vMerge w:val="continue"/>
          </w:tcPr>
          <w:p>
            <w:pPr>
              <w:spacing w:after="0"/>
              <w:rPr>
                <w:sz w:val="9"/>
                <w:szCs w:val="9"/>
                <w:color w:val="auto"/>
              </w:rPr>
            </w:pPr>
          </w:p>
        </w:tc>
        <w:tc>
          <w:tcPr>
            <w:tcW w:w="1400" w:type="dxa"/>
            <w:vAlign w:val="bottom"/>
            <w:tcBorders>
              <w:bottom w:val="single" w:sz="8" w:color="auto"/>
              <w:right w:val="single" w:sz="8" w:color="auto"/>
            </w:tcBorders>
            <w:vMerge w:val="continue"/>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Westchester</w:t>
            </w:r>
          </w:p>
        </w:tc>
        <w:tc>
          <w:tcPr>
            <w:tcW w:w="1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Barbeque Integrated,</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New York State</w:t>
            </w:r>
          </w:p>
        </w:tc>
        <w:tc>
          <w:tcPr>
            <w:tcW w:w="11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Inc. dba Smokey Bones</w:t>
            </w: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Liquor</w:t>
            </w: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Fire Insurance</w:t>
            </w:r>
          </w:p>
        </w:tc>
        <w:tc>
          <w:tcPr>
            <w:tcW w:w="19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Liquor</w:t>
            </w: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K08375999</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$1,000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Bar and Fire Grill</w:t>
            </w: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License</w:t>
            </w:r>
          </w:p>
        </w:tc>
        <w:tc>
          <w:tcPr>
            <w:tcW w:w="126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Authority</w:t>
            </w: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right w:val="single" w:sz="8" w:color="auto"/>
            </w:tcBorders>
            <w:vMerge w:val="continue"/>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#7504 Restaurant</w:t>
            </w:r>
          </w:p>
        </w:tc>
        <w:tc>
          <w:tcPr>
            <w:tcW w:w="140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vMerge w:val="continue"/>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Hartford Fire</w:t>
            </w:r>
          </w:p>
        </w:tc>
        <w:tc>
          <w:tcPr>
            <w:tcW w:w="1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Twin Restaurant Grand</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Prairie Beverage</w:t>
            </w: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Insurance</w:t>
            </w:r>
          </w:p>
        </w:tc>
        <w:tc>
          <w:tcPr>
            <w:tcW w:w="19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52BSBIS3934</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12/31/2026</w:t>
            </w: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Holding,</w:t>
            </w: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right w:val="single" w:sz="8" w:color="auto"/>
            </w:tcBorders>
            <w:vMerge w:val="continue"/>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vMerge w:val="continue"/>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Hartford Fire</w:t>
            </w:r>
          </w:p>
        </w:tc>
        <w:tc>
          <w:tcPr>
            <w:tcW w:w="1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Twin Restaurant</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Insurance</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Amarillo Beverage</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52BSBIS4635</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12/31/2026</w:t>
            </w: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Holding, LLC</w:t>
            </w: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20" w:type="dxa"/>
            <w:vAlign w:val="bottom"/>
            <w:tcBorders>
              <w:bottom w:val="single" w:sz="8" w:color="auto"/>
              <w:right w:val="single" w:sz="8" w:color="auto"/>
            </w:tcBorders>
            <w:vMerge w:val="continue"/>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Hartford Fire</w:t>
            </w:r>
          </w:p>
        </w:tc>
        <w:tc>
          <w:tcPr>
            <w:tcW w:w="1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Twin Restaurant Grand</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Prairie Beverage</w:t>
            </w: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Insurance</w:t>
            </w:r>
          </w:p>
        </w:tc>
        <w:tc>
          <w:tcPr>
            <w:tcW w:w="19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52BSBIS4631</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12/31/2026</w:t>
            </w: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continue"/>
          </w:tcPr>
          <w:p>
            <w:pPr>
              <w:spacing w:after="0"/>
              <w:rPr>
                <w:sz w:val="9"/>
                <w:szCs w:val="9"/>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Holding,</w:t>
            </w: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60" w:type="dxa"/>
            <w:vAlign w:val="bottom"/>
            <w:tcBorders>
              <w:left w:val="single" w:sz="8" w:color="auto"/>
              <w:right w:val="single" w:sz="8" w:color="auto"/>
            </w:tcBorders>
            <w:vMerge w:val="continue"/>
          </w:tcPr>
          <w:p>
            <w:pPr>
              <w:spacing w:after="0"/>
              <w:rPr>
                <w:sz w:val="10"/>
                <w:szCs w:val="10"/>
                <w:color w:val="auto"/>
              </w:rPr>
            </w:pPr>
          </w:p>
        </w:tc>
        <w:tc>
          <w:tcPr>
            <w:tcW w:w="1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Borders>
              <w:left w:val="single" w:sz="8" w:color="auto"/>
              <w:bottom w:val="single" w:sz="8" w:color="auto"/>
              <w:right w:val="single" w:sz="8" w:color="auto"/>
            </w:tcBorders>
          </w:tcPr>
          <w:p>
            <w:pPr>
              <w:spacing w:after="0"/>
              <w:rPr>
                <w:sz w:val="9"/>
                <w:szCs w:val="9"/>
                <w:color w:val="auto"/>
              </w:rPr>
            </w:pPr>
          </w:p>
        </w:tc>
        <w:tc>
          <w:tcPr>
            <w:tcW w:w="1920" w:type="dxa"/>
            <w:vAlign w:val="bottom"/>
            <w:tcBorders>
              <w:bottom w:val="single" w:sz="8" w:color="auto"/>
              <w:right w:val="single" w:sz="8" w:color="auto"/>
            </w:tcBorders>
            <w:vMerge w:val="continue"/>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12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23" w:name="page124"/>
    <w:bookmarkEnd w:id="1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2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Surety</w:t>
            </w:r>
          </w:p>
        </w:tc>
        <w:tc>
          <w:tcPr>
            <w:tcW w:w="19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Beneficiary</w:t>
            </w:r>
          </w:p>
        </w:tc>
        <w:tc>
          <w:tcPr>
            <w:tcW w:w="11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Purpose</w:t>
            </w:r>
          </w:p>
        </w:tc>
        <w:tc>
          <w:tcPr>
            <w:tcW w:w="12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Bond Number</w:t>
            </w:r>
          </w:p>
        </w:tc>
        <w:tc>
          <w:tcPr>
            <w:tcW w:w="60" w:type="dxa"/>
            <w:vAlign w:val="bottom"/>
            <w:tcBorders>
              <w:top w:val="single" w:sz="8" w:color="auto"/>
              <w:bottom w:val="single" w:sz="8" w:color="auto"/>
            </w:tcBorders>
            <w:shd w:val="clear" w:color="auto" w:fill="D9D9D9"/>
          </w:tcPr>
          <w:p>
            <w:pPr>
              <w:spacing w:after="0"/>
              <w:rPr>
                <w:sz w:val="19"/>
                <w:szCs w:val="19"/>
                <w:color w:val="auto"/>
              </w:rPr>
            </w:pPr>
          </w:p>
        </w:tc>
        <w:tc>
          <w:tcPr>
            <w:tcW w:w="16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Bond Amount</w:t>
            </w:r>
          </w:p>
        </w:tc>
        <w:tc>
          <w:tcPr>
            <w:tcW w:w="112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Premium</w:t>
            </w:r>
          </w:p>
        </w:tc>
        <w:tc>
          <w:tcPr>
            <w:tcW w:w="14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Hartford Fire</w:t>
            </w:r>
          </w:p>
        </w:tc>
        <w:tc>
          <w:tcPr>
            <w:tcW w:w="1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Twin Restaurant</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Insurance</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Burleson Beverage</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52BSBIS3933</w:t>
            </w:r>
          </w:p>
        </w:tc>
        <w:tc>
          <w:tcPr>
            <w:tcW w:w="60" w:type="dxa"/>
            <w:vAlign w:val="bottom"/>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12/31/2026</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Holding, LLC</w:t>
            </w: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vMerge w:val="continue"/>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Hartford Fire</w:t>
            </w:r>
          </w:p>
        </w:tc>
        <w:tc>
          <w:tcPr>
            <w:tcW w:w="1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Twin Restaurant</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Insurance</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Amarillo Beverage</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52BSBIT1697</w:t>
            </w:r>
          </w:p>
        </w:tc>
        <w:tc>
          <w:tcPr>
            <w:tcW w:w="60" w:type="dxa"/>
            <w:vAlign w:val="bottom"/>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12/31/2026</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Holding, LLC</w:t>
            </w: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vMerge w:val="continue"/>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Hartford Fire</w:t>
            </w:r>
          </w:p>
        </w:tc>
        <w:tc>
          <w:tcPr>
            <w:tcW w:w="1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Twin Restaurant</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Insurance</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Amarillo Beverage</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52BSBIT1699</w:t>
            </w:r>
          </w:p>
        </w:tc>
        <w:tc>
          <w:tcPr>
            <w:tcW w:w="60" w:type="dxa"/>
            <w:vAlign w:val="bottom"/>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12/31/2026</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Holding, LLC</w:t>
            </w: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vMerge w:val="continue"/>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Twin Restaurant Plano</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100186700</w:t>
            </w:r>
          </w:p>
        </w:tc>
        <w:tc>
          <w:tcPr>
            <w:tcW w:w="60" w:type="dxa"/>
            <w:vAlign w:val="bottom"/>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$188.00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08/22/2026</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126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Holding, LLC</w:t>
            </w: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Receipts Tax</w:t>
            </w:r>
          </w:p>
        </w:tc>
        <w:tc>
          <w:tcPr>
            <w:tcW w:w="12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Twin Restaurant</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Plano Beverage</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100186706</w:t>
            </w:r>
          </w:p>
        </w:tc>
        <w:tc>
          <w:tcPr>
            <w:tcW w:w="60" w:type="dxa"/>
            <w:vAlign w:val="bottom"/>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$188.00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08/22/2026</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Holding, LLC</w:t>
            </w: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Sales Tax</w:t>
            </w:r>
          </w:p>
        </w:tc>
        <w:tc>
          <w:tcPr>
            <w:tcW w:w="12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Twin Restaurant El</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Paso Beverage Holding,</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885024</w:t>
            </w:r>
          </w:p>
        </w:tc>
        <w:tc>
          <w:tcPr>
            <w:tcW w:w="60" w:type="dxa"/>
            <w:vAlign w:val="bottom"/>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$329.00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126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Receipts Tax</w:t>
            </w:r>
          </w:p>
        </w:tc>
        <w:tc>
          <w:tcPr>
            <w:tcW w:w="12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Twin Restaurant</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Western Center</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885025</w:t>
            </w:r>
          </w:p>
        </w:tc>
        <w:tc>
          <w:tcPr>
            <w:tcW w:w="60" w:type="dxa"/>
            <w:vAlign w:val="bottom"/>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$329.00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126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Beverage Holding</w:t>
            </w: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Receipts Tax</w:t>
            </w:r>
          </w:p>
        </w:tc>
        <w:tc>
          <w:tcPr>
            <w:tcW w:w="12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Twin Restaurant</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Western Center</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885026</w:t>
            </w:r>
          </w:p>
        </w:tc>
        <w:tc>
          <w:tcPr>
            <w:tcW w:w="60" w:type="dxa"/>
            <w:vAlign w:val="bottom"/>
          </w:tcPr>
          <w:p>
            <w:pPr>
              <w:spacing w:after="0"/>
              <w:rPr>
                <w:sz w:val="9"/>
                <w:szCs w:val="9"/>
                <w:color w:val="auto"/>
              </w:rPr>
            </w:pPr>
          </w:p>
        </w:tc>
        <w:tc>
          <w:tcPr>
            <w:tcW w:w="1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$329.00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Beverage Holding</w:t>
            </w: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Sales Tax</w:t>
            </w:r>
          </w:p>
        </w:tc>
        <w:tc>
          <w:tcPr>
            <w:tcW w:w="126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1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900" w:type="dxa"/>
            <w:vAlign w:val="bottom"/>
            <w:gridSpan w:val="4"/>
          </w:tcPr>
          <w:p>
            <w:pPr>
              <w:ind w:left="1000"/>
              <w:spacing w:after="0"/>
              <w:rPr>
                <w:sz w:val="20"/>
                <w:szCs w:val="20"/>
                <w:color w:val="auto"/>
              </w:rPr>
            </w:pPr>
            <w:r>
              <w:rPr>
                <w:rFonts w:ascii="Times New Roman" w:cs="Times New Roman" w:eastAsia="Times New Roman" w:hAnsi="Times New Roman"/>
                <w:sz w:val="18"/>
                <w:szCs w:val="18"/>
                <w:color w:val="auto"/>
                <w:w w:val="99"/>
              </w:rPr>
              <w:t>[FBG &amp; Twin – DIP Credit Agreement]</w:t>
            </w: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124" w:name="page125"/>
    <w:bookmarkEnd w:id="1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22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Surety</w:t>
            </w:r>
          </w:p>
        </w:tc>
        <w:tc>
          <w:tcPr>
            <w:tcW w:w="19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Beneficiary</w:t>
            </w:r>
          </w:p>
        </w:tc>
        <w:tc>
          <w:tcPr>
            <w:tcW w:w="11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Purpose</w:t>
            </w:r>
          </w:p>
        </w:tc>
        <w:tc>
          <w:tcPr>
            <w:tcW w:w="12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Bond Number</w:t>
            </w:r>
          </w:p>
        </w:tc>
        <w:tc>
          <w:tcPr>
            <w:tcW w:w="17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Bond Amount</w:t>
            </w:r>
          </w:p>
        </w:tc>
        <w:tc>
          <w:tcPr>
            <w:tcW w:w="112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Premium</w:t>
            </w:r>
          </w:p>
        </w:tc>
        <w:tc>
          <w:tcPr>
            <w:tcW w:w="14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Twin Restaurant N</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Irving Beverage</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885027</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$329.00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126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Holding, LLC</w:t>
            </w: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Receipts Tax</w:t>
            </w:r>
          </w:p>
        </w:tc>
        <w:tc>
          <w:tcPr>
            <w:tcW w:w="12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Twin Restaurant N</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Irving Beverage</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885028</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$329.00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Holding, LLC</w:t>
            </w: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Sales Tax</w:t>
            </w: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Twin Restaurant Park</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North Beverage</w:t>
            </w: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885029</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$329.00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Holding,</w:t>
            </w: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Sales Tax</w:t>
            </w: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vMerge w:val="continue"/>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Twin Restaurant Park</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North Beverage</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885030</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$329.00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Holding,</w:t>
            </w:r>
          </w:p>
        </w:tc>
        <w:tc>
          <w:tcPr>
            <w:tcW w:w="140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126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20" w:type="dxa"/>
            <w:vAlign w:val="bottom"/>
            <w:tcBorders>
              <w:left w:val="single" w:sz="8" w:color="auto"/>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c>
          <w:tcPr>
            <w:tcW w:w="14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Receipts Tax</w:t>
            </w:r>
          </w:p>
        </w:tc>
        <w:tc>
          <w:tcPr>
            <w:tcW w:w="1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Twin Restaurant S Forth</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Worth Beverage</w:t>
            </w: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885031</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$329.00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Holding,</w:t>
            </w: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Sales Tax</w:t>
            </w: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vMerge w:val="continue"/>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Twin Restaurant S Forth</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Worth Beverage</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885032</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$329.00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Holding,</w:t>
            </w:r>
          </w:p>
        </w:tc>
        <w:tc>
          <w:tcPr>
            <w:tcW w:w="140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126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20" w:type="dxa"/>
            <w:vAlign w:val="bottom"/>
            <w:tcBorders>
              <w:left w:val="single" w:sz="8" w:color="auto"/>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c>
          <w:tcPr>
            <w:tcW w:w="14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Receipts Tax</w:t>
            </w:r>
          </w:p>
        </w:tc>
        <w:tc>
          <w:tcPr>
            <w:tcW w:w="1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Twin Restaurant</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Sunland Park Beverage</w:t>
            </w: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885033</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$329.00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Holding,</w:t>
            </w: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Sales Tax</w:t>
            </w: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vMerge w:val="continue"/>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[FBG &amp; Twin –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5" w:name="page126"/>
    <w:bookmarkEnd w:id="125"/>
    <w:tbl>
      <w:tblPr>
        <w:tblLayout w:type="fixed"/>
        <w:tblInd w:w="10" w:type="dxa"/>
        <w:tblCellMar>
          <w:top w:w="0" w:type="dxa"/>
          <w:left w:w="0" w:type="dxa"/>
          <w:bottom w:w="0" w:type="dxa"/>
          <w:right w:w="0" w:type="dxa"/>
        </w:tblCellMar>
      </w:tblPr>
      <w:tr>
        <w:trPr>
          <w:trHeight w:val="230"/>
        </w:trPr>
        <w:tc>
          <w:tcPr>
            <w:tcW w:w="122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Surety</w:t>
            </w:r>
          </w:p>
        </w:tc>
        <w:tc>
          <w:tcPr>
            <w:tcW w:w="19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Beneficiary</w:t>
            </w:r>
          </w:p>
        </w:tc>
        <w:tc>
          <w:tcPr>
            <w:tcW w:w="11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Purpose</w:t>
            </w:r>
          </w:p>
        </w:tc>
        <w:tc>
          <w:tcPr>
            <w:tcW w:w="126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Bond Number</w:t>
            </w:r>
          </w:p>
        </w:tc>
        <w:tc>
          <w:tcPr>
            <w:tcW w:w="17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Bond Amount</w:t>
            </w:r>
          </w:p>
        </w:tc>
        <w:tc>
          <w:tcPr>
            <w:tcW w:w="112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Premium</w:t>
            </w:r>
          </w:p>
        </w:tc>
        <w:tc>
          <w:tcPr>
            <w:tcW w:w="14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Twin Restaurant</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Sunland Park Beverage</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885034</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$329.00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Holding,</w:t>
            </w:r>
          </w:p>
        </w:tc>
        <w:tc>
          <w:tcPr>
            <w:tcW w:w="140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126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20" w:type="dxa"/>
            <w:vAlign w:val="bottom"/>
            <w:tcBorders>
              <w:left w:val="single" w:sz="8" w:color="auto"/>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c>
          <w:tcPr>
            <w:tcW w:w="14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Receipts Tax</w:t>
            </w:r>
          </w:p>
        </w:tc>
        <w:tc>
          <w:tcPr>
            <w:tcW w:w="1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Twin Restaurant</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Westover Beverage</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885035</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$329.00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Holding, LLC</w:t>
            </w: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Sales Tax</w:t>
            </w: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Twin Restaurant</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Westover Beverage</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885036</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$329.00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126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Holding, LLC</w:t>
            </w: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Receipts Tax</w:t>
            </w:r>
          </w:p>
        </w:tc>
        <w:tc>
          <w:tcPr>
            <w:tcW w:w="12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Twin Restaurant San</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Marcos Beverage</w:t>
            </w: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885037</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$329.00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Holding,</w:t>
            </w: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Sales Tax</w:t>
            </w: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vMerge w:val="continue"/>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Twin Restaurant San</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Marcos Beverage</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885038</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$329.00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Holding,</w:t>
            </w:r>
          </w:p>
        </w:tc>
        <w:tc>
          <w:tcPr>
            <w:tcW w:w="140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126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20" w:type="dxa"/>
            <w:vAlign w:val="bottom"/>
            <w:tcBorders>
              <w:left w:val="single" w:sz="8" w:color="auto"/>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c>
          <w:tcPr>
            <w:tcW w:w="14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Receipts Tax</w:t>
            </w:r>
          </w:p>
        </w:tc>
        <w:tc>
          <w:tcPr>
            <w:tcW w:w="1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Twin Restaurant San</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Angelo Beverage</w:t>
            </w: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885039</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$329.00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Holding,</w:t>
            </w:r>
          </w:p>
        </w:tc>
        <w:tc>
          <w:tcPr>
            <w:tcW w:w="1400" w:type="dxa"/>
            <w:vAlign w:val="bottom"/>
            <w:tcBorders>
              <w:right w:val="single" w:sz="8" w:color="auto"/>
            </w:tcBorders>
            <w:vMerge w:val="continue"/>
          </w:tcPr>
          <w:p>
            <w:pPr>
              <w:spacing w:after="0"/>
              <w:rPr>
                <w:sz w:val="9"/>
                <w:szCs w:val="9"/>
                <w:color w:val="auto"/>
              </w:rPr>
            </w:pPr>
          </w:p>
        </w:tc>
        <w:tc>
          <w:tcPr>
            <w:tcW w:w="118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right w:val="single" w:sz="8" w:color="auto"/>
            </w:tcBorders>
            <w:vMerge w:val="continue"/>
          </w:tcPr>
          <w:p>
            <w:pPr>
              <w:spacing w:after="0"/>
              <w:rPr>
                <w:sz w:val="9"/>
                <w:szCs w:val="9"/>
                <w:color w:val="auto"/>
              </w:rPr>
            </w:pPr>
          </w:p>
        </w:tc>
        <w:tc>
          <w:tcPr>
            <w:tcW w:w="1960" w:type="dxa"/>
            <w:vAlign w:val="bottom"/>
            <w:tcBorders>
              <w:right w:val="single" w:sz="8" w:color="auto"/>
            </w:tcBorders>
            <w:vMerge w:val="continue"/>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Sales Tax</w:t>
            </w:r>
          </w:p>
        </w:tc>
        <w:tc>
          <w:tcPr>
            <w:tcW w:w="1260" w:type="dxa"/>
            <w:vAlign w:val="bottom"/>
            <w:tcBorders>
              <w:right w:val="single" w:sz="8" w:color="auto"/>
            </w:tcBorders>
          </w:tcPr>
          <w:p>
            <w:pPr>
              <w:spacing w:after="0"/>
              <w:rPr>
                <w:sz w:val="9"/>
                <w:szCs w:val="9"/>
                <w:color w:val="auto"/>
              </w:rPr>
            </w:pPr>
          </w:p>
        </w:tc>
        <w:tc>
          <w:tcPr>
            <w:tcW w:w="170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c>
          <w:tcPr>
            <w:tcW w:w="14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17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960" w:type="dxa"/>
            <w:vAlign w:val="bottom"/>
            <w:tcBorders>
              <w:bottom w:val="single" w:sz="8" w:color="auto"/>
              <w:right w:val="single" w:sz="8" w:color="auto"/>
            </w:tcBorders>
            <w:vMerge w:val="continue"/>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22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19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Twin Restaurant San</w:t>
            </w:r>
          </w:p>
        </w:tc>
        <w:tc>
          <w:tcPr>
            <w:tcW w:w="1400" w:type="dxa"/>
            <w:vAlign w:val="bottom"/>
            <w:tcBorders>
              <w:right w:val="single" w:sz="8" w:color="auto"/>
            </w:tcBorders>
          </w:tcPr>
          <w:p>
            <w:pPr>
              <w:spacing w:after="0"/>
              <w:rPr>
                <w:sz w:val="16"/>
                <w:szCs w:val="16"/>
                <w:color w:val="auto"/>
              </w:rPr>
            </w:pP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Mixed</w:t>
            </w:r>
          </w:p>
        </w:tc>
        <w:tc>
          <w:tcPr>
            <w:tcW w:w="126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1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Angelo Beverage</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State of Texas</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Beverage</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885040</w:t>
            </w: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$329.00</w:t>
            </w: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26"/>
        </w:trPr>
        <w:tc>
          <w:tcPr>
            <w:tcW w:w="12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Holding,</w:t>
            </w:r>
          </w:p>
        </w:tc>
        <w:tc>
          <w:tcPr>
            <w:tcW w:w="140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1260" w:type="dxa"/>
            <w:vAlign w:val="bottom"/>
            <w:tcBorders>
              <w:right w:val="single" w:sz="8" w:color="auto"/>
            </w:tcBorders>
            <w:vMerge w:val="continue"/>
          </w:tcPr>
          <w:p>
            <w:pPr>
              <w:spacing w:after="0"/>
              <w:rPr>
                <w:sz w:val="10"/>
                <w:szCs w:val="10"/>
                <w:color w:val="auto"/>
              </w:rPr>
            </w:pPr>
          </w:p>
        </w:tc>
        <w:tc>
          <w:tcPr>
            <w:tcW w:w="170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4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20" w:type="dxa"/>
            <w:vAlign w:val="bottom"/>
            <w:tcBorders>
              <w:left w:val="single" w:sz="8" w:color="auto"/>
              <w:right w:val="single" w:sz="8" w:color="auto"/>
            </w:tcBorders>
            <w:vMerge w:val="continue"/>
          </w:tcPr>
          <w:p>
            <w:pPr>
              <w:spacing w:after="0"/>
              <w:rPr>
                <w:sz w:val="7"/>
                <w:szCs w:val="7"/>
                <w:color w:val="auto"/>
              </w:rPr>
            </w:pPr>
          </w:p>
        </w:tc>
        <w:tc>
          <w:tcPr>
            <w:tcW w:w="1960" w:type="dxa"/>
            <w:vAlign w:val="bottom"/>
            <w:tcBorders>
              <w:right w:val="single" w:sz="8" w:color="auto"/>
            </w:tcBorders>
            <w:vMerge w:val="continue"/>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1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LLC</w:t>
            </w:r>
          </w:p>
        </w:tc>
        <w:tc>
          <w:tcPr>
            <w:tcW w:w="1400" w:type="dxa"/>
            <w:vAlign w:val="bottom"/>
            <w:tcBorders>
              <w:bottom w:val="single" w:sz="8" w:color="auto"/>
              <w:right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Receipts Tax</w:t>
            </w:r>
          </w:p>
        </w:tc>
        <w:tc>
          <w:tcPr>
            <w:tcW w:w="126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[FBG &amp; Twin – DIP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6" w:name="page127"/>
    <w:bookmarkEnd w:id="126"/>
    <w:tbl>
      <w:tblPr>
        <w:tblLayout w:type="fixed"/>
        <w:tblInd w:w="10" w:type="dxa"/>
        <w:tblCellMar>
          <w:top w:w="0" w:type="dxa"/>
          <w:left w:w="0" w:type="dxa"/>
          <w:bottom w:w="0" w:type="dxa"/>
          <w:right w:w="0" w:type="dxa"/>
        </w:tblCellMar>
      </w:tblPr>
      <w:tr>
        <w:trPr>
          <w:trHeight w:val="230"/>
        </w:trPr>
        <w:tc>
          <w:tcPr>
            <w:tcW w:w="118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Surety</w:t>
            </w:r>
          </w:p>
        </w:tc>
        <w:tc>
          <w:tcPr>
            <w:tcW w:w="80" w:type="dxa"/>
            <w:vAlign w:val="bottom"/>
            <w:tcBorders>
              <w:top w:val="single" w:sz="8" w:color="auto"/>
              <w:bottom w:val="single" w:sz="8" w:color="auto"/>
            </w:tcBorders>
            <w:shd w:val="clear" w:color="auto" w:fill="D9D9D9"/>
          </w:tcPr>
          <w:p>
            <w:pPr>
              <w:spacing w:after="0"/>
              <w:rPr>
                <w:sz w:val="19"/>
                <w:szCs w:val="19"/>
                <w:color w:val="auto"/>
              </w:rPr>
            </w:pPr>
          </w:p>
        </w:tc>
        <w:tc>
          <w:tcPr>
            <w:tcW w:w="140" w:type="dxa"/>
            <w:vAlign w:val="bottom"/>
            <w:tcBorders>
              <w:top w:val="single" w:sz="8" w:color="auto"/>
              <w:bottom w:val="single" w:sz="8" w:color="auto"/>
            </w:tcBorders>
            <w:shd w:val="clear" w:color="auto" w:fill="D9D9D9"/>
          </w:tcPr>
          <w:p>
            <w:pPr>
              <w:spacing w:after="0"/>
              <w:rPr>
                <w:sz w:val="19"/>
                <w:szCs w:val="19"/>
                <w:color w:val="auto"/>
              </w:rPr>
            </w:pPr>
          </w:p>
        </w:tc>
        <w:tc>
          <w:tcPr>
            <w:tcW w:w="100" w:type="dxa"/>
            <w:vAlign w:val="bottom"/>
            <w:tcBorders>
              <w:top w:val="single" w:sz="8" w:color="auto"/>
              <w:bottom w:val="single" w:sz="8" w:color="auto"/>
            </w:tcBorders>
            <w:shd w:val="clear" w:color="auto" w:fill="D9D9D9"/>
          </w:tcPr>
          <w:p>
            <w:pPr>
              <w:spacing w:after="0"/>
              <w:rPr>
                <w:sz w:val="19"/>
                <w:szCs w:val="19"/>
                <w:color w:val="auto"/>
              </w:rPr>
            </w:pPr>
          </w:p>
        </w:tc>
        <w:tc>
          <w:tcPr>
            <w:tcW w:w="1520" w:type="dxa"/>
            <w:vAlign w:val="bottom"/>
            <w:tcBorders>
              <w:top w:val="single" w:sz="8" w:color="auto"/>
              <w:bottom w:val="single" w:sz="8" w:color="auto"/>
              <w:right w:val="single" w:sz="8" w:color="auto"/>
            </w:tcBorders>
            <w:gridSpan w:val="2"/>
            <w:shd w:val="clear" w:color="auto" w:fill="D9D9D9"/>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20" w:type="dxa"/>
            <w:vAlign w:val="bottom"/>
            <w:tcBorders>
              <w:top w:val="single" w:sz="8" w:color="auto"/>
              <w:bottom w:val="single" w:sz="8" w:color="auto"/>
            </w:tcBorders>
            <w:shd w:val="clear" w:color="auto" w:fill="D9D9D9"/>
          </w:tcPr>
          <w:p>
            <w:pPr>
              <w:spacing w:after="0"/>
              <w:rPr>
                <w:sz w:val="19"/>
                <w:szCs w:val="19"/>
                <w:color w:val="auto"/>
              </w:rPr>
            </w:pPr>
          </w:p>
        </w:tc>
        <w:tc>
          <w:tcPr>
            <w:tcW w:w="1240" w:type="dxa"/>
            <w:vAlign w:val="bottom"/>
            <w:tcBorders>
              <w:top w:val="single" w:sz="8" w:color="auto"/>
              <w:bottom w:val="single" w:sz="8" w:color="auto"/>
              <w:right w:val="single" w:sz="8" w:color="auto"/>
            </w:tcBorders>
            <w:gridSpan w:val="2"/>
            <w:shd w:val="clear" w:color="auto" w:fill="D9D9D9"/>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Beneficiary</w:t>
            </w:r>
          </w:p>
        </w:tc>
        <w:tc>
          <w:tcPr>
            <w:tcW w:w="1120" w:type="dxa"/>
            <w:vAlign w:val="bottom"/>
            <w:tcBorders>
              <w:top w:val="single" w:sz="8" w:color="auto"/>
              <w:bottom w:val="single" w:sz="8" w:color="auto"/>
              <w:right w:val="single" w:sz="8" w:color="auto"/>
            </w:tcBorders>
            <w:gridSpan w:val="2"/>
            <w:shd w:val="clear" w:color="auto" w:fill="D9D9D9"/>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Purpose</w:t>
            </w:r>
          </w:p>
        </w:tc>
        <w:tc>
          <w:tcPr>
            <w:tcW w:w="15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rPr>
              <w:t>Bond Number</w:t>
            </w:r>
          </w:p>
        </w:tc>
        <w:tc>
          <w:tcPr>
            <w:tcW w:w="60" w:type="dxa"/>
            <w:vAlign w:val="bottom"/>
            <w:tcBorders>
              <w:top w:val="single" w:sz="8" w:color="auto"/>
              <w:bottom w:val="single" w:sz="8" w:color="auto"/>
            </w:tcBorders>
            <w:shd w:val="clear" w:color="auto" w:fill="D9D9D9"/>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2"/>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Bond Amount</w:t>
            </w:r>
          </w:p>
        </w:tc>
        <w:tc>
          <w:tcPr>
            <w:tcW w:w="940" w:type="dxa"/>
            <w:vAlign w:val="bottom"/>
            <w:tcBorders>
              <w:top w:val="single" w:sz="8" w:color="auto"/>
              <w:bottom w:val="single" w:sz="8" w:color="auto"/>
            </w:tcBorders>
            <w:gridSpan w:val="2"/>
            <w:shd w:val="clear" w:color="auto" w:fill="D9D9D9"/>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160" w:type="dxa"/>
            <w:vAlign w:val="bottom"/>
            <w:tcBorders>
              <w:top w:val="single" w:sz="8" w:color="auto"/>
              <w:bottom w:val="single" w:sz="8" w:color="auto"/>
              <w:right w:val="single" w:sz="8" w:color="auto"/>
            </w:tcBorders>
            <w:shd w:val="clear" w:color="auto" w:fill="D9D9D9"/>
          </w:tcPr>
          <w:p>
            <w:pPr>
              <w:spacing w:after="0"/>
              <w:rPr>
                <w:sz w:val="19"/>
                <w:szCs w:val="19"/>
                <w:color w:val="auto"/>
              </w:rPr>
            </w:pPr>
          </w:p>
        </w:tc>
        <w:tc>
          <w:tcPr>
            <w:tcW w:w="140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 Date</w:t>
            </w:r>
          </w:p>
        </w:tc>
        <w:tc>
          <w:tcPr>
            <w:tcW w:w="0" w:type="dxa"/>
            <w:vAlign w:val="bottom"/>
          </w:tcPr>
          <w:p>
            <w:pPr>
              <w:spacing w:after="0"/>
              <w:rPr>
                <w:sz w:val="1"/>
                <w:szCs w:val="1"/>
                <w:color w:val="auto"/>
              </w:rPr>
            </w:pPr>
          </w:p>
        </w:tc>
      </w:tr>
      <w:tr>
        <w:trPr>
          <w:trHeight w:val="191"/>
        </w:trPr>
        <w:tc>
          <w:tcPr>
            <w:tcW w:w="1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80" w:type="dxa"/>
            <w:vAlign w:val="bottom"/>
          </w:tcPr>
          <w:p>
            <w:pPr>
              <w:spacing w:after="0"/>
              <w:rPr>
                <w:sz w:val="16"/>
                <w:szCs w:val="16"/>
                <w:color w:val="auto"/>
              </w:rPr>
            </w:pPr>
          </w:p>
        </w:tc>
        <w:tc>
          <w:tcPr>
            <w:tcW w:w="1760" w:type="dxa"/>
            <w:vAlign w:val="bottom"/>
            <w:tcBorders>
              <w:right w:val="single" w:sz="8" w:color="auto"/>
            </w:tcBorders>
            <w:gridSpan w:val="4"/>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Twin Restaurant Live</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7"/>
              </w:rPr>
              <w:t>Mixed</w:t>
            </w:r>
          </w:p>
        </w:tc>
        <w:tc>
          <w:tcPr>
            <w:tcW w:w="15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80" w:type="dxa"/>
            <w:vAlign w:val="bottom"/>
          </w:tcPr>
          <w:p>
            <w:pPr>
              <w:spacing w:after="0"/>
              <w:rPr>
                <w:sz w:val="9"/>
                <w:szCs w:val="9"/>
                <w:color w:val="auto"/>
              </w:rPr>
            </w:pPr>
          </w:p>
        </w:tc>
        <w:tc>
          <w:tcPr>
            <w:tcW w:w="1760" w:type="dxa"/>
            <w:vAlign w:val="bottom"/>
            <w:tcBorders>
              <w:right w:val="single" w:sz="8" w:color="auto"/>
            </w:tcBorders>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Oak Beverage</w:t>
            </w: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State of Texas</w:t>
            </w:r>
          </w:p>
        </w:tc>
        <w:tc>
          <w:tcPr>
            <w:tcW w:w="112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Beverage</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885041</w:t>
            </w:r>
          </w:p>
        </w:tc>
        <w:tc>
          <w:tcPr>
            <w:tcW w:w="60" w:type="dxa"/>
            <w:vAlign w:val="bottom"/>
          </w:tcPr>
          <w:p>
            <w:pPr>
              <w:spacing w:after="0"/>
              <w:rPr>
                <w:sz w:val="9"/>
                <w:szCs w:val="9"/>
                <w:color w:val="auto"/>
              </w:rPr>
            </w:pPr>
          </w:p>
        </w:tc>
        <w:tc>
          <w:tcPr>
            <w:tcW w:w="16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94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$329.00</w:t>
            </w: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continue"/>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Holding, LLC</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Sales Tax</w:t>
            </w: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gridSpan w:val="2"/>
            <w:vMerge w:val="continue"/>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80" w:type="dxa"/>
            <w:vAlign w:val="bottom"/>
          </w:tcPr>
          <w:p>
            <w:pPr>
              <w:spacing w:after="0"/>
              <w:rPr>
                <w:sz w:val="16"/>
                <w:szCs w:val="16"/>
                <w:color w:val="auto"/>
              </w:rPr>
            </w:pPr>
          </w:p>
        </w:tc>
        <w:tc>
          <w:tcPr>
            <w:tcW w:w="1760" w:type="dxa"/>
            <w:vAlign w:val="bottom"/>
            <w:tcBorders>
              <w:right w:val="single" w:sz="8" w:color="auto"/>
            </w:tcBorders>
            <w:gridSpan w:val="4"/>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Twin Restaurant Live</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w w:val="97"/>
              </w:rPr>
              <w:t>Mixed</w:t>
            </w:r>
          </w:p>
        </w:tc>
        <w:tc>
          <w:tcPr>
            <w:tcW w:w="15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80" w:type="dxa"/>
            <w:vAlign w:val="bottom"/>
          </w:tcPr>
          <w:p>
            <w:pPr>
              <w:spacing w:after="0"/>
              <w:rPr>
                <w:sz w:val="9"/>
                <w:szCs w:val="9"/>
                <w:color w:val="auto"/>
              </w:rPr>
            </w:pPr>
          </w:p>
        </w:tc>
        <w:tc>
          <w:tcPr>
            <w:tcW w:w="1760" w:type="dxa"/>
            <w:vAlign w:val="bottom"/>
            <w:tcBorders>
              <w:right w:val="single" w:sz="8" w:color="auto"/>
            </w:tcBorders>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Beverage</w:t>
            </w: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Oak Beverage</w:t>
            </w: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State of Texas</w:t>
            </w:r>
          </w:p>
        </w:tc>
        <w:tc>
          <w:tcPr>
            <w:tcW w:w="11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885042</w:t>
            </w:r>
          </w:p>
        </w:tc>
        <w:tc>
          <w:tcPr>
            <w:tcW w:w="60" w:type="dxa"/>
            <w:vAlign w:val="bottom"/>
          </w:tcPr>
          <w:p>
            <w:pPr>
              <w:spacing w:after="0"/>
              <w:rPr>
                <w:sz w:val="9"/>
                <w:szCs w:val="9"/>
                <w:color w:val="auto"/>
              </w:rPr>
            </w:pPr>
          </w:p>
        </w:tc>
        <w:tc>
          <w:tcPr>
            <w:tcW w:w="16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94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$329.00</w:t>
            </w: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continue"/>
          </w:tcPr>
          <w:p>
            <w:pPr>
              <w:spacing w:after="0"/>
              <w:rPr>
                <w:sz w:val="9"/>
                <w:szCs w:val="9"/>
                <w:color w:val="auto"/>
              </w:rPr>
            </w:pPr>
          </w:p>
        </w:tc>
        <w:tc>
          <w:tcPr>
            <w:tcW w:w="11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Gross</w:t>
            </w:r>
          </w:p>
        </w:tc>
        <w:tc>
          <w:tcPr>
            <w:tcW w:w="154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Holding, LLC</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Receipts Tax</w:t>
            </w:r>
          </w:p>
        </w:tc>
        <w:tc>
          <w:tcPr>
            <w:tcW w:w="15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gridSpan w:val="2"/>
            <w:vMerge w:val="continue"/>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Merchants</w:t>
            </w:r>
          </w:p>
        </w:tc>
        <w:tc>
          <w:tcPr>
            <w:tcW w:w="80" w:type="dxa"/>
            <w:vAlign w:val="bottom"/>
          </w:tcPr>
          <w:p>
            <w:pPr>
              <w:spacing w:after="0"/>
              <w:rPr>
                <w:sz w:val="16"/>
                <w:szCs w:val="16"/>
                <w:color w:val="auto"/>
              </w:rPr>
            </w:pPr>
          </w:p>
        </w:tc>
        <w:tc>
          <w:tcPr>
            <w:tcW w:w="1760" w:type="dxa"/>
            <w:vAlign w:val="bottom"/>
            <w:tcBorders>
              <w:right w:val="single" w:sz="8" w:color="auto"/>
            </w:tcBorders>
            <w:gridSpan w:val="4"/>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8"/>
              </w:rPr>
              <w:t>Twin Restaurant El</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7"/>
              </w:rPr>
              <w:t>Mixed</w:t>
            </w:r>
          </w:p>
        </w:tc>
        <w:tc>
          <w:tcPr>
            <w:tcW w:w="15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Bonding</w:t>
            </w:r>
          </w:p>
        </w:tc>
        <w:tc>
          <w:tcPr>
            <w:tcW w:w="80" w:type="dxa"/>
            <w:vAlign w:val="bottom"/>
          </w:tcPr>
          <w:p>
            <w:pPr>
              <w:spacing w:after="0"/>
              <w:rPr>
                <w:sz w:val="9"/>
                <w:szCs w:val="9"/>
                <w:color w:val="auto"/>
              </w:rPr>
            </w:pPr>
          </w:p>
        </w:tc>
        <w:tc>
          <w:tcPr>
            <w:tcW w:w="1760" w:type="dxa"/>
            <w:vAlign w:val="bottom"/>
            <w:tcBorders>
              <w:right w:val="single" w:sz="8" w:color="auto"/>
            </w:tcBorders>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Paso Beverage</w:t>
            </w: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State of Texas</w:t>
            </w:r>
          </w:p>
        </w:tc>
        <w:tc>
          <w:tcPr>
            <w:tcW w:w="112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Beverage</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 885023</w:t>
            </w:r>
          </w:p>
        </w:tc>
        <w:tc>
          <w:tcPr>
            <w:tcW w:w="60" w:type="dxa"/>
            <w:vAlign w:val="bottom"/>
          </w:tcPr>
          <w:p>
            <w:pPr>
              <w:spacing w:after="0"/>
              <w:rPr>
                <w:sz w:val="9"/>
                <w:szCs w:val="9"/>
                <w:color w:val="auto"/>
              </w:rPr>
            </w:pPr>
          </w:p>
        </w:tc>
        <w:tc>
          <w:tcPr>
            <w:tcW w:w="16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94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$329.00</w:t>
            </w: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09/01/2026</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continue"/>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Holding, LLC</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Sales Tax</w:t>
            </w: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(Mutual)</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gridSpan w:val="2"/>
            <w:vMerge w:val="continue"/>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Travelers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right w:val="single" w:sz="8" w:color="auto"/>
            </w:tcBorders>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OH-Alcohol</w:t>
            </w:r>
          </w:p>
        </w:tc>
        <w:tc>
          <w:tcPr>
            <w:tcW w:w="10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Casualty and</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Borders>
              <w:right w:val="single" w:sz="8" w:color="auto"/>
            </w:tcBorders>
            <w:gridSpan w:val="3"/>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9"/>
              </w:rPr>
              <w:t>Twin Restaurant N</w:t>
            </w: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Borders>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and Tobacco</w:t>
            </w:r>
          </w:p>
        </w:tc>
        <w:tc>
          <w:tcPr>
            <w:tcW w:w="11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7"/>
              </w:rPr>
              <w:t>Mixed</w:t>
            </w: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Surety</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gridSpan w:val="2"/>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Irving Beverage</w:t>
            </w: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continue"/>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105930720</w:t>
            </w:r>
          </w:p>
        </w:tc>
        <w:tc>
          <w:tcPr>
            <w:tcW w:w="60" w:type="dxa"/>
            <w:vAlign w:val="bottom"/>
          </w:tcPr>
          <w:p>
            <w:pPr>
              <w:spacing w:after="0"/>
              <w:rPr>
                <w:sz w:val="9"/>
                <w:szCs w:val="9"/>
                <w:color w:val="auto"/>
              </w:rPr>
            </w:pPr>
          </w:p>
        </w:tc>
        <w:tc>
          <w:tcPr>
            <w:tcW w:w="16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$7,000.00</w:t>
            </w:r>
          </w:p>
        </w:tc>
        <w:tc>
          <w:tcPr>
            <w:tcW w:w="94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$325.00</w:t>
            </w: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07/10/2027</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Tax and Trade</w:t>
            </w:r>
          </w:p>
        </w:tc>
        <w:tc>
          <w:tcPr>
            <w:tcW w:w="112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Beverage</w:t>
            </w:r>
          </w:p>
        </w:tc>
        <w:tc>
          <w:tcPr>
            <w:tcW w:w="154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Company of</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Holding, LLC</w:t>
            </w: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continue"/>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Bureau</w:t>
            </w:r>
          </w:p>
        </w:tc>
        <w:tc>
          <w:tcPr>
            <w:tcW w:w="10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America</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right w:val="single" w:sz="8" w:color="auto"/>
            </w:tcBorders>
            <w:gridSpan w:val="2"/>
            <w:vMerge w:val="continue"/>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Harco</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Borders>
              <w:right w:val="single" w:sz="8" w:color="auto"/>
            </w:tcBorders>
            <w:gridSpan w:val="3"/>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8"/>
              </w:rPr>
              <w:t>Twin Restaurant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w w:val="97"/>
              </w:rPr>
              <w:t>Mixed</w:t>
            </w:r>
          </w:p>
        </w:tc>
        <w:tc>
          <w:tcPr>
            <w:tcW w:w="15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National</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Borders>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Beverage</w:t>
            </w: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Borders>
              <w:right w:val="single" w:sz="8" w:color="auto"/>
            </w:tcBorders>
            <w:gridSpan w:val="3"/>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Terrell Beverage</w:t>
            </w: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State of Texas</w:t>
            </w:r>
          </w:p>
        </w:tc>
        <w:tc>
          <w:tcPr>
            <w:tcW w:w="11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TXHNSU0845727</w:t>
            </w:r>
          </w:p>
        </w:tc>
        <w:tc>
          <w:tcPr>
            <w:tcW w:w="60" w:type="dxa"/>
            <w:vAlign w:val="bottom"/>
          </w:tcPr>
          <w:p>
            <w:pPr>
              <w:spacing w:after="0"/>
              <w:rPr>
                <w:sz w:val="9"/>
                <w:szCs w:val="9"/>
                <w:color w:val="auto"/>
              </w:rPr>
            </w:pPr>
          </w:p>
        </w:tc>
        <w:tc>
          <w:tcPr>
            <w:tcW w:w="16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94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$100.00</w:t>
            </w: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08/21/2026</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Insurance</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Borders>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continue"/>
          </w:tcPr>
          <w:p>
            <w:pPr>
              <w:spacing w:after="0"/>
              <w:rPr>
                <w:sz w:val="9"/>
                <w:szCs w:val="9"/>
                <w:color w:val="auto"/>
              </w:rPr>
            </w:pPr>
          </w:p>
        </w:tc>
        <w:tc>
          <w:tcPr>
            <w:tcW w:w="11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Gross</w:t>
            </w:r>
          </w:p>
        </w:tc>
        <w:tc>
          <w:tcPr>
            <w:tcW w:w="154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Holding, LLC</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Receipts Tax</w:t>
            </w:r>
          </w:p>
        </w:tc>
        <w:tc>
          <w:tcPr>
            <w:tcW w:w="15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gridSpan w:val="2"/>
            <w:vMerge w:val="continue"/>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Harco</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Borders>
              <w:right w:val="single" w:sz="8" w:color="auto"/>
            </w:tcBorders>
            <w:gridSpan w:val="3"/>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8"/>
              </w:rPr>
              <w:t>Twin Restaurant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7"/>
              </w:rPr>
              <w:t>Mixed</w:t>
            </w:r>
          </w:p>
        </w:tc>
        <w:tc>
          <w:tcPr>
            <w:tcW w:w="15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National</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Borders>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Borders>
              <w:right w:val="single" w:sz="8" w:color="auto"/>
            </w:tcBorders>
            <w:gridSpan w:val="3"/>
            <w:vMerge w:val="restart"/>
          </w:tcPr>
          <w:p>
            <w:pPr>
              <w:jc w:val="center"/>
              <w:ind w:right="170"/>
              <w:spacing w:after="0"/>
              <w:rPr>
                <w:sz w:val="20"/>
                <w:szCs w:val="20"/>
                <w:color w:val="auto"/>
              </w:rPr>
            </w:pPr>
            <w:r>
              <w:rPr>
                <w:rFonts w:ascii="Times New Roman" w:cs="Times New Roman" w:eastAsia="Times New Roman" w:hAnsi="Times New Roman"/>
                <w:sz w:val="18"/>
                <w:szCs w:val="18"/>
                <w:color w:val="auto"/>
                <w:w w:val="98"/>
              </w:rPr>
              <w:t>Terrell Beverage</w:t>
            </w: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State of Texas</w:t>
            </w:r>
          </w:p>
        </w:tc>
        <w:tc>
          <w:tcPr>
            <w:tcW w:w="112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Beverage</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TXHNSU0845728</w:t>
            </w:r>
          </w:p>
        </w:tc>
        <w:tc>
          <w:tcPr>
            <w:tcW w:w="60" w:type="dxa"/>
            <w:vAlign w:val="bottom"/>
          </w:tcPr>
          <w:p>
            <w:pPr>
              <w:spacing w:after="0"/>
              <w:rPr>
                <w:sz w:val="9"/>
                <w:szCs w:val="9"/>
                <w:color w:val="auto"/>
              </w:rPr>
            </w:pPr>
          </w:p>
        </w:tc>
        <w:tc>
          <w:tcPr>
            <w:tcW w:w="16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94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$100.00</w:t>
            </w: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08/21/2026</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Insurance</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Borders>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continue"/>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Holding, LLC</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Sales Tax</w:t>
            </w: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gridSpan w:val="2"/>
            <w:vMerge w:val="continue"/>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Harco</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Borders>
              <w:right w:val="single" w:sz="8" w:color="auto"/>
            </w:tcBorders>
            <w:gridSpan w:val="3"/>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8"/>
              </w:rPr>
              <w:t>Twin Restaurant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gridSpan w:val="2"/>
          </w:tcPr>
          <w:p>
            <w:pPr>
              <w:jc w:val="center"/>
              <w:ind w:right="20"/>
              <w:spacing w:after="0" w:line="191" w:lineRule="exact"/>
              <w:rPr>
                <w:sz w:val="20"/>
                <w:szCs w:val="20"/>
                <w:color w:val="auto"/>
              </w:rPr>
            </w:pPr>
            <w:r>
              <w:rPr>
                <w:rFonts w:ascii="Times New Roman" w:cs="Times New Roman" w:eastAsia="Times New Roman" w:hAnsi="Times New Roman"/>
                <w:sz w:val="18"/>
                <w:szCs w:val="18"/>
                <w:color w:val="auto"/>
                <w:w w:val="97"/>
              </w:rPr>
              <w:t>Mixed</w:t>
            </w:r>
          </w:p>
        </w:tc>
        <w:tc>
          <w:tcPr>
            <w:tcW w:w="15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National</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Borders>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Beverage</w:t>
            </w: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Borders>
              <w:right w:val="single" w:sz="8" w:color="auto"/>
            </w:tcBorders>
            <w:gridSpan w:val="4"/>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Northlake Beverage</w:t>
            </w: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State of Texas</w:t>
            </w:r>
          </w:p>
        </w:tc>
        <w:tc>
          <w:tcPr>
            <w:tcW w:w="11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TXHNSU0845719</w:t>
            </w:r>
          </w:p>
        </w:tc>
        <w:tc>
          <w:tcPr>
            <w:tcW w:w="60" w:type="dxa"/>
            <w:vAlign w:val="bottom"/>
          </w:tcPr>
          <w:p>
            <w:pPr>
              <w:spacing w:after="0"/>
              <w:rPr>
                <w:sz w:val="9"/>
                <w:szCs w:val="9"/>
                <w:color w:val="auto"/>
              </w:rPr>
            </w:pPr>
          </w:p>
        </w:tc>
        <w:tc>
          <w:tcPr>
            <w:tcW w:w="16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94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$100.00</w:t>
            </w: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04/03/2026</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Insurance</w:t>
            </w:r>
          </w:p>
        </w:tc>
        <w:tc>
          <w:tcPr>
            <w:tcW w:w="80" w:type="dxa"/>
            <w:vAlign w:val="bottom"/>
          </w:tcPr>
          <w:p>
            <w:pPr>
              <w:spacing w:after="0"/>
              <w:rPr>
                <w:sz w:val="9"/>
                <w:szCs w:val="9"/>
                <w:color w:val="auto"/>
              </w:rPr>
            </w:pPr>
          </w:p>
        </w:tc>
        <w:tc>
          <w:tcPr>
            <w:tcW w:w="1760" w:type="dxa"/>
            <w:vAlign w:val="bottom"/>
            <w:tcBorders>
              <w:right w:val="single" w:sz="8" w:color="auto"/>
            </w:tcBorders>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continue"/>
          </w:tcPr>
          <w:p>
            <w:pPr>
              <w:spacing w:after="0"/>
              <w:rPr>
                <w:sz w:val="9"/>
                <w:szCs w:val="9"/>
                <w:color w:val="auto"/>
              </w:rPr>
            </w:pPr>
          </w:p>
        </w:tc>
        <w:tc>
          <w:tcPr>
            <w:tcW w:w="11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Gross</w:t>
            </w:r>
          </w:p>
        </w:tc>
        <w:tc>
          <w:tcPr>
            <w:tcW w:w="154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Holding, LLC</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Receipts Tax</w:t>
            </w:r>
          </w:p>
        </w:tc>
        <w:tc>
          <w:tcPr>
            <w:tcW w:w="15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gridSpan w:val="2"/>
            <w:vMerge w:val="continue"/>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1180" w:type="dxa"/>
            <w:vAlign w:val="bottom"/>
            <w:tcBorders>
              <w:left w:val="single" w:sz="8" w:color="auto"/>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Harco</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tcBorders>
              <w:right w:val="single" w:sz="8" w:color="auto"/>
            </w:tcBorders>
            <w:gridSpan w:val="3"/>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8"/>
              </w:rPr>
              <w:t>Twin Restaurant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7"/>
              </w:rPr>
              <w:t>Mixed</w:t>
            </w:r>
          </w:p>
        </w:tc>
        <w:tc>
          <w:tcPr>
            <w:tcW w:w="15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National</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20" w:type="dxa"/>
            <w:vAlign w:val="bottom"/>
            <w:tcBorders>
              <w:right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760" w:type="dxa"/>
            <w:vAlign w:val="bottom"/>
            <w:tcBorders>
              <w:right w:val="single" w:sz="8" w:color="auto"/>
            </w:tcBorders>
            <w:gridSpan w:val="4"/>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Northlake Beverage</w:t>
            </w: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7"/>
              </w:rPr>
              <w:t>State of Texas</w:t>
            </w:r>
          </w:p>
        </w:tc>
        <w:tc>
          <w:tcPr>
            <w:tcW w:w="1120" w:type="dxa"/>
            <w:vAlign w:val="bottom"/>
            <w:tcBorders>
              <w:right w:val="single" w:sz="8" w:color="auto"/>
            </w:tcBorders>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w w:val="99"/>
              </w:rPr>
              <w:t>Beverage</w:t>
            </w:r>
          </w:p>
        </w:tc>
        <w:tc>
          <w:tcPr>
            <w:tcW w:w="1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TXHNSU0845720</w:t>
            </w:r>
          </w:p>
        </w:tc>
        <w:tc>
          <w:tcPr>
            <w:tcW w:w="60" w:type="dxa"/>
            <w:vAlign w:val="bottom"/>
          </w:tcPr>
          <w:p>
            <w:pPr>
              <w:spacing w:after="0"/>
              <w:rPr>
                <w:sz w:val="9"/>
                <w:szCs w:val="9"/>
                <w:color w:val="auto"/>
              </w:rPr>
            </w:pPr>
          </w:p>
        </w:tc>
        <w:tc>
          <w:tcPr>
            <w:tcW w:w="164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$3,750.00</w:t>
            </w:r>
          </w:p>
        </w:tc>
        <w:tc>
          <w:tcPr>
            <w:tcW w:w="94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$100.00</w:t>
            </w: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04/03/2026</w:t>
            </w: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Insurance</w:t>
            </w:r>
          </w:p>
        </w:tc>
        <w:tc>
          <w:tcPr>
            <w:tcW w:w="80" w:type="dxa"/>
            <w:vAlign w:val="bottom"/>
          </w:tcPr>
          <w:p>
            <w:pPr>
              <w:spacing w:after="0"/>
              <w:rPr>
                <w:sz w:val="9"/>
                <w:szCs w:val="9"/>
                <w:color w:val="auto"/>
              </w:rPr>
            </w:pPr>
          </w:p>
        </w:tc>
        <w:tc>
          <w:tcPr>
            <w:tcW w:w="1760" w:type="dxa"/>
            <w:vAlign w:val="bottom"/>
            <w:tcBorders>
              <w:right w:val="single" w:sz="8" w:color="auto"/>
            </w:tcBorders>
            <w:gridSpan w:val="4"/>
            <w:vMerge w:val="continue"/>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right w:val="single" w:sz="8" w:color="auto"/>
            </w:tcBorders>
            <w:gridSpan w:val="2"/>
            <w:vMerge w:val="continue"/>
          </w:tcPr>
          <w:p>
            <w:pPr>
              <w:spacing w:after="0"/>
              <w:rPr>
                <w:sz w:val="9"/>
                <w:szCs w:val="9"/>
                <w:color w:val="auto"/>
              </w:rPr>
            </w:pPr>
          </w:p>
        </w:tc>
        <w:tc>
          <w:tcPr>
            <w:tcW w:w="1120" w:type="dxa"/>
            <w:vAlign w:val="bottom"/>
            <w:tcBorders>
              <w:right w:val="single" w:sz="8" w:color="auto"/>
            </w:tcBorders>
            <w:gridSpan w:val="2"/>
            <w:vMerge w:val="continue"/>
          </w:tcPr>
          <w:p>
            <w:pPr>
              <w:spacing w:after="0"/>
              <w:rPr>
                <w:sz w:val="9"/>
                <w:szCs w:val="9"/>
                <w:color w:val="auto"/>
              </w:rPr>
            </w:pPr>
          </w:p>
        </w:tc>
        <w:tc>
          <w:tcPr>
            <w:tcW w:w="154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640" w:type="dxa"/>
            <w:vAlign w:val="bottom"/>
            <w:tcBorders>
              <w:right w:val="single" w:sz="8" w:color="auto"/>
            </w:tcBorders>
            <w:gridSpan w:val="2"/>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right w:val="single" w:sz="8" w:color="auto"/>
            </w:tcBorders>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tcBorders>
              <w:right w:val="single" w:sz="8" w:color="auto"/>
            </w:tcBorders>
            <w:gridSpan w:val="2"/>
            <w:vMerge w:val="restart"/>
          </w:tcPr>
          <w:p>
            <w:pPr>
              <w:jc w:val="center"/>
              <w:ind w:right="250"/>
              <w:spacing w:after="0"/>
              <w:rPr>
                <w:sz w:val="20"/>
                <w:szCs w:val="20"/>
                <w:color w:val="auto"/>
              </w:rPr>
            </w:pPr>
            <w:r>
              <w:rPr>
                <w:rFonts w:ascii="Times New Roman" w:cs="Times New Roman" w:eastAsia="Times New Roman" w:hAnsi="Times New Roman"/>
                <w:sz w:val="18"/>
                <w:szCs w:val="18"/>
                <w:color w:val="auto"/>
                <w:w w:val="99"/>
              </w:rPr>
              <w:t>Holding, LLC</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9"/>
              </w:rPr>
              <w:t>Sales Tax</w:t>
            </w:r>
          </w:p>
        </w:tc>
        <w:tc>
          <w:tcPr>
            <w:tcW w:w="15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gridSpan w:val="2"/>
            <w:vMerge w:val="continue"/>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0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540" w:type="dxa"/>
            <w:vAlign w:val="bottom"/>
            <w:tcBorders>
              <w:bottom w:val="single" w:sz="8" w:color="auto"/>
              <w:right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Part 2: Letters of Credit</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60" w:type="dxa"/>
            <w:vAlign w:val="bottom"/>
            <w:tcBorders>
              <w:left w:val="single" w:sz="8" w:color="auto"/>
              <w:bottom w:val="single" w:sz="8" w:color="auto"/>
            </w:tcBorders>
            <w:gridSpan w:val="2"/>
            <w:shd w:val="clear" w:color="auto" w:fill="F2F2F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Obligor</w:t>
            </w:r>
          </w:p>
        </w:tc>
        <w:tc>
          <w:tcPr>
            <w:tcW w:w="140" w:type="dxa"/>
            <w:vAlign w:val="bottom"/>
            <w:tcBorders>
              <w:bottom w:val="single" w:sz="8" w:color="auto"/>
            </w:tcBorders>
            <w:shd w:val="clear" w:color="auto" w:fill="F2F2F2"/>
          </w:tcPr>
          <w:p>
            <w:pPr>
              <w:spacing w:after="0"/>
              <w:rPr>
                <w:sz w:val="18"/>
                <w:szCs w:val="18"/>
                <w:color w:val="auto"/>
              </w:rPr>
            </w:pPr>
          </w:p>
        </w:tc>
        <w:tc>
          <w:tcPr>
            <w:tcW w:w="100" w:type="dxa"/>
            <w:vAlign w:val="bottom"/>
            <w:tcBorders>
              <w:bottom w:val="single" w:sz="8" w:color="auto"/>
            </w:tcBorders>
            <w:shd w:val="clear" w:color="auto" w:fill="F2F2F2"/>
          </w:tcPr>
          <w:p>
            <w:pPr>
              <w:spacing w:after="0"/>
              <w:rPr>
                <w:sz w:val="18"/>
                <w:szCs w:val="18"/>
                <w:color w:val="auto"/>
              </w:rPr>
            </w:pPr>
          </w:p>
        </w:tc>
        <w:tc>
          <w:tcPr>
            <w:tcW w:w="320" w:type="dxa"/>
            <w:vAlign w:val="bottom"/>
            <w:tcBorders>
              <w:bottom w:val="single" w:sz="8" w:color="auto"/>
              <w:right w:val="single" w:sz="8" w:color="auto"/>
            </w:tcBorders>
            <w:shd w:val="clear" w:color="auto" w:fill="F2F2F2"/>
          </w:tcPr>
          <w:p>
            <w:pPr>
              <w:spacing w:after="0"/>
              <w:rPr>
                <w:sz w:val="18"/>
                <w:szCs w:val="18"/>
                <w:color w:val="auto"/>
              </w:rPr>
            </w:pPr>
          </w:p>
        </w:tc>
        <w:tc>
          <w:tcPr>
            <w:tcW w:w="1320" w:type="dxa"/>
            <w:vAlign w:val="bottom"/>
            <w:tcBorders>
              <w:bottom w:val="single" w:sz="8" w:color="auto"/>
            </w:tcBorders>
            <w:gridSpan w:val="2"/>
            <w:shd w:val="clear" w:color="auto" w:fill="F2F2F2"/>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7"/>
              </w:rPr>
              <w:t>Issuer</w:t>
            </w:r>
          </w:p>
        </w:tc>
        <w:tc>
          <w:tcPr>
            <w:tcW w:w="480" w:type="dxa"/>
            <w:vAlign w:val="bottom"/>
            <w:tcBorders>
              <w:bottom w:val="single" w:sz="8" w:color="auto"/>
              <w:right w:val="single" w:sz="8" w:color="auto"/>
            </w:tcBorders>
            <w:shd w:val="clear" w:color="auto" w:fill="F2F2F2"/>
          </w:tcPr>
          <w:p>
            <w:pPr>
              <w:spacing w:after="0"/>
              <w:rPr>
                <w:sz w:val="18"/>
                <w:szCs w:val="18"/>
                <w:color w:val="auto"/>
              </w:rPr>
            </w:pPr>
          </w:p>
        </w:tc>
        <w:tc>
          <w:tcPr>
            <w:tcW w:w="1800" w:type="dxa"/>
            <w:vAlign w:val="bottom"/>
            <w:tcBorders>
              <w:bottom w:val="single" w:sz="8" w:color="auto"/>
              <w:right w:val="single" w:sz="8" w:color="auto"/>
            </w:tcBorders>
            <w:gridSpan w:val="2"/>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Date Issued</w:t>
            </w:r>
          </w:p>
        </w:tc>
        <w:tc>
          <w:tcPr>
            <w:tcW w:w="80" w:type="dxa"/>
            <w:vAlign w:val="bottom"/>
            <w:tcBorders>
              <w:bottom w:val="single" w:sz="8" w:color="auto"/>
              <w:right w:val="single" w:sz="8" w:color="F2F2F2"/>
            </w:tcBorders>
            <w:shd w:val="clear" w:color="auto" w:fill="F2F2F2"/>
          </w:tcPr>
          <w:p>
            <w:pPr>
              <w:spacing w:after="0"/>
              <w:rPr>
                <w:sz w:val="18"/>
                <w:szCs w:val="18"/>
                <w:color w:val="auto"/>
              </w:rPr>
            </w:pPr>
          </w:p>
        </w:tc>
        <w:tc>
          <w:tcPr>
            <w:tcW w:w="1600" w:type="dxa"/>
            <w:vAlign w:val="bottom"/>
            <w:tcBorders>
              <w:bottom w:val="single" w:sz="8" w:color="auto"/>
            </w:tcBorders>
            <w:gridSpan w:val="2"/>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Borders>
              <w:bottom w:val="single" w:sz="8" w:color="auto"/>
              <w:right w:val="single" w:sz="8" w:color="auto"/>
            </w:tcBorders>
            <w:shd w:val="clear" w:color="auto" w:fill="F2F2F2"/>
          </w:tcPr>
          <w:p>
            <w:pPr>
              <w:spacing w:after="0"/>
              <w:rPr>
                <w:sz w:val="18"/>
                <w:szCs w:val="18"/>
                <w:color w:val="auto"/>
              </w:rPr>
            </w:pPr>
          </w:p>
        </w:tc>
        <w:tc>
          <w:tcPr>
            <w:tcW w:w="1540" w:type="dxa"/>
            <w:vAlign w:val="bottom"/>
            <w:tcBorders>
              <w:bottom w:val="single" w:sz="8" w:color="auto"/>
              <w:right w:val="single" w:sz="8" w:color="F2F2F2"/>
            </w:tcBorders>
            <w:shd w:val="clear" w:color="auto" w:fill="F2F2F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Purpose</w:t>
            </w:r>
          </w:p>
        </w:tc>
        <w:tc>
          <w:tcPr>
            <w:tcW w:w="260" w:type="dxa"/>
            <w:vAlign w:val="bottom"/>
            <w:tcBorders>
              <w:bottom w:val="single" w:sz="8" w:color="auto"/>
              <w:right w:val="single" w:sz="8" w:color="auto"/>
            </w:tcBorders>
            <w:shd w:val="clear" w:color="auto" w:fill="F2F2F2"/>
          </w:tcPr>
          <w:p>
            <w:pPr>
              <w:spacing w:after="0"/>
              <w:rPr>
                <w:sz w:val="18"/>
                <w:szCs w:val="18"/>
                <w:color w:val="auto"/>
              </w:rPr>
            </w:pPr>
          </w:p>
        </w:tc>
        <w:tc>
          <w:tcPr>
            <w:tcW w:w="680" w:type="dxa"/>
            <w:vAlign w:val="bottom"/>
            <w:tcBorders>
              <w:bottom w:val="single" w:sz="8" w:color="auto"/>
            </w:tcBorders>
            <w:shd w:val="clear" w:color="auto" w:fill="F2F2F2"/>
          </w:tcPr>
          <w:p>
            <w:pPr>
              <w:spacing w:after="0"/>
              <w:rPr>
                <w:sz w:val="18"/>
                <w:szCs w:val="18"/>
                <w:color w:val="auto"/>
              </w:rPr>
            </w:pPr>
          </w:p>
        </w:tc>
        <w:tc>
          <w:tcPr>
            <w:tcW w:w="1560" w:type="dxa"/>
            <w:vAlign w:val="bottom"/>
            <w:tcBorders>
              <w:bottom w:val="single" w:sz="8" w:color="auto"/>
              <w:right w:val="single" w:sz="8" w:color="auto"/>
            </w:tcBorders>
            <w:gridSpan w:val="2"/>
            <w:shd w:val="clear" w:color="auto" w:fill="F2F2F2"/>
          </w:tcPr>
          <w:p>
            <w:pPr>
              <w:jc w:val="center"/>
              <w:ind w:right="6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191"/>
        </w:trPr>
        <w:tc>
          <w:tcPr>
            <w:tcW w:w="1500" w:type="dxa"/>
            <w:vAlign w:val="bottom"/>
            <w:tcBorders>
              <w:left w:val="single" w:sz="8" w:color="auto"/>
            </w:tcBorders>
            <w:gridSpan w:val="4"/>
          </w:tcPr>
          <w:p>
            <w:pPr>
              <w:jc w:val="center"/>
              <w:ind w:left="230"/>
              <w:spacing w:after="0" w:line="191" w:lineRule="exact"/>
              <w:rPr>
                <w:sz w:val="20"/>
                <w:szCs w:val="20"/>
                <w:color w:val="auto"/>
              </w:rPr>
            </w:pPr>
            <w:r>
              <w:rPr>
                <w:rFonts w:ascii="Times New Roman" w:cs="Times New Roman" w:eastAsia="Times New Roman" w:hAnsi="Times New Roman"/>
                <w:sz w:val="18"/>
                <w:szCs w:val="18"/>
                <w:color w:val="auto"/>
                <w:w w:val="98"/>
              </w:rPr>
              <w:t>Twin Restaurant</w:t>
            </w:r>
          </w:p>
        </w:tc>
        <w:tc>
          <w:tcPr>
            <w:tcW w:w="320" w:type="dxa"/>
            <w:vAlign w:val="bottom"/>
            <w:tcBorders>
              <w:right w:val="single" w:sz="8" w:color="auto"/>
            </w:tcBorders>
          </w:tcPr>
          <w:p>
            <w:pPr>
              <w:spacing w:after="0"/>
              <w:rPr>
                <w:sz w:val="16"/>
                <w:szCs w:val="16"/>
                <w:color w:val="auto"/>
              </w:rPr>
            </w:pPr>
          </w:p>
        </w:tc>
        <w:tc>
          <w:tcPr>
            <w:tcW w:w="1320" w:type="dxa"/>
            <w:vAlign w:val="bottom"/>
            <w:gridSpan w:val="2"/>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rPr>
              <w:t>Truist Bank</w:t>
            </w:r>
          </w:p>
        </w:tc>
        <w:tc>
          <w:tcPr>
            <w:tcW w:w="48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gridSpan w:val="2"/>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05/26/2021</w:t>
            </w:r>
          </w:p>
        </w:tc>
        <w:tc>
          <w:tcPr>
            <w:tcW w:w="8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9670249260-90005</w:t>
            </w:r>
          </w:p>
        </w:tc>
        <w:tc>
          <w:tcPr>
            <w:tcW w:w="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540" w:type="dxa"/>
            <w:vAlign w:val="bottom"/>
            <w:vMerge w:val="restart"/>
          </w:tcPr>
          <w:p>
            <w:pPr>
              <w:jc w:val="center"/>
              <w:ind w:left="170"/>
              <w:spacing w:after="0"/>
              <w:rPr>
                <w:sz w:val="20"/>
                <w:szCs w:val="20"/>
                <w:color w:val="auto"/>
              </w:rPr>
            </w:pPr>
            <w:r>
              <w:rPr>
                <w:rFonts w:ascii="Times New Roman" w:cs="Times New Roman" w:eastAsia="Times New Roman" w:hAnsi="Times New Roman"/>
                <w:sz w:val="18"/>
                <w:szCs w:val="18"/>
                <w:color w:val="auto"/>
              </w:rPr>
              <w:t>General Liability</w:t>
            </w:r>
          </w:p>
        </w:tc>
        <w:tc>
          <w:tcPr>
            <w:tcW w:w="26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1560" w:type="dxa"/>
            <w:vAlign w:val="bottom"/>
            <w:tcBorders>
              <w:right w:val="single" w:sz="8" w:color="auto"/>
            </w:tcBorders>
            <w:gridSpan w:val="2"/>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$5,000,000</w:t>
            </w:r>
          </w:p>
        </w:tc>
        <w:tc>
          <w:tcPr>
            <w:tcW w:w="0" w:type="dxa"/>
            <w:vAlign w:val="bottom"/>
          </w:tcPr>
          <w:p>
            <w:pPr>
              <w:spacing w:after="0"/>
              <w:rPr>
                <w:sz w:val="1"/>
                <w:szCs w:val="1"/>
                <w:color w:val="auto"/>
              </w:rPr>
            </w:pPr>
          </w:p>
        </w:tc>
      </w:tr>
      <w:tr>
        <w:trPr>
          <w:trHeight w:val="126"/>
        </w:trPr>
        <w:tc>
          <w:tcPr>
            <w:tcW w:w="1400" w:type="dxa"/>
            <w:vAlign w:val="bottom"/>
            <w:tcBorders>
              <w:left w:val="single" w:sz="8" w:color="auto"/>
            </w:tcBorders>
            <w:gridSpan w:val="3"/>
            <w:vMerge w:val="restart"/>
          </w:tcPr>
          <w:p>
            <w:pPr>
              <w:jc w:val="center"/>
              <w:ind w:left="330"/>
              <w:spacing w:after="0"/>
              <w:rPr>
                <w:sz w:val="20"/>
                <w:szCs w:val="20"/>
                <w:color w:val="auto"/>
              </w:rPr>
            </w:pPr>
            <w:r>
              <w:rPr>
                <w:rFonts w:ascii="Times New Roman" w:cs="Times New Roman" w:eastAsia="Times New Roman" w:hAnsi="Times New Roman"/>
                <w:sz w:val="18"/>
                <w:szCs w:val="18"/>
                <w:color w:val="auto"/>
              </w:rPr>
              <w:t>Holding LLC</w:t>
            </w:r>
          </w:p>
        </w:tc>
        <w:tc>
          <w:tcPr>
            <w:tcW w:w="10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540" w:type="dxa"/>
            <w:vAlign w:val="bottom"/>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5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tcBorders>
              <w:left w:val="single" w:sz="8" w:color="auto"/>
              <w:bottom w:val="single" w:sz="8" w:color="auto"/>
            </w:tcBorders>
            <w:gridSpan w:val="3"/>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60" w:type="dxa"/>
            <w:vAlign w:val="bottom"/>
            <w:tcBorders>
              <w:bottom w:val="single" w:sz="8" w:color="auto"/>
              <w:right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26"/>
        </w:trPr>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80" w:type="dxa"/>
            <w:vAlign w:val="bottom"/>
            <w:gridSpan w:val="5"/>
          </w:tcPr>
          <w:p>
            <w:pPr>
              <w:jc w:val="center"/>
              <w:ind w:left="430"/>
              <w:spacing w:after="0"/>
              <w:rPr>
                <w:sz w:val="20"/>
                <w:szCs w:val="20"/>
                <w:color w:val="auto"/>
              </w:rPr>
            </w:pPr>
            <w:r>
              <w:rPr>
                <w:rFonts w:ascii="Times New Roman" w:cs="Times New Roman" w:eastAsia="Times New Roman" w:hAnsi="Times New Roman"/>
                <w:sz w:val="18"/>
                <w:szCs w:val="18"/>
                <w:color w:val="auto"/>
                <w:w w:val="99"/>
              </w:rPr>
              <w:t>[FBG &amp; Twin – DIP Credit Agreement]</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127" w:name="page128"/>
    <w:bookmarkEnd w:id="127"/>
    <w:p>
      <w:pPr>
        <w:jc w:val="center"/>
        <w:spacing w:after="0"/>
        <w:rPr>
          <w:sz w:val="20"/>
          <w:szCs w:val="20"/>
          <w:color w:val="auto"/>
        </w:rPr>
      </w:pPr>
      <w:r>
        <w:rPr>
          <w:rFonts w:ascii="Times New Roman" w:cs="Times New Roman" w:eastAsia="Times New Roman" w:hAnsi="Times New Roman"/>
          <w:sz w:val="18"/>
          <w:szCs w:val="18"/>
          <w:b w:val="1"/>
          <w:bCs w:val="1"/>
          <w:color w:val="auto"/>
        </w:rPr>
        <w:t>Schedule 1B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Permitted Investments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Schedule 4(a)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Stipulated Allocation</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54095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5409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Schedule 5(c)</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Post-Closing Matters</w:t>
      </w:r>
    </w:p>
    <w:p>
      <w:pPr>
        <w:spacing w:after="0" w:line="229" w:lineRule="exact"/>
        <w:rPr>
          <w:sz w:val="20"/>
          <w:szCs w:val="20"/>
          <w:color w:val="auto"/>
        </w:rPr>
      </w:pPr>
    </w:p>
    <w:p>
      <w:pPr>
        <w:ind w:left="332" w:hanging="332"/>
        <w:spacing w:after="0" w:line="282" w:lineRule="auto"/>
        <w:tabs>
          <w:tab w:leader="none" w:pos="33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that is 30 days after the Closing Date, the DIP Agent shall have received from the Borrower executed Segregated Account Control Agreements with respect to each Segregated Account.</w:t>
      </w:r>
    </w:p>
    <w:p>
      <w:pPr>
        <w:spacing w:after="0" w:line="161" w:lineRule="exact"/>
        <w:rPr>
          <w:rFonts w:ascii="Times New Roman" w:cs="Times New Roman" w:eastAsia="Times New Roman" w:hAnsi="Times New Roman"/>
          <w:sz w:val="18"/>
          <w:szCs w:val="18"/>
          <w:color w:val="auto"/>
        </w:rPr>
      </w:pPr>
    </w:p>
    <w:p>
      <w:pPr>
        <w:jc w:val="both"/>
        <w:ind w:left="332" w:hanging="332"/>
        <w:spacing w:after="0" w:line="266" w:lineRule="auto"/>
        <w:tabs>
          <w:tab w:leader="none" w:pos="33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date that is 30 days after the Closing Date, the Loan Parties shall cause each of the following entities to be in good standing in each such entity’s jurisdiction of organization and deliver evidence of such entity’s good standing to the DIP Agent: Fazoli’s Joint Venture, Ltd. and Round Table Advertising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260350</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657" w:right="33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8"/>
          <w:szCs w:val="18"/>
          <w:b w:val="1"/>
          <w:bCs w:val="1"/>
          <w:color w:val="auto"/>
        </w:rPr>
        <w:t>Schedule 5(e)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Milestones</w:t>
      </w:r>
    </w:p>
    <w:p>
      <w:pPr>
        <w:spacing w:after="0" w:line="229" w:lineRule="exact"/>
        <w:rPr>
          <w:sz w:val="20"/>
          <w:szCs w:val="20"/>
          <w:color w:val="auto"/>
        </w:rPr>
      </w:pPr>
    </w:p>
    <w:p>
      <w:pPr>
        <w:ind w:left="880" w:hanging="224"/>
        <w:spacing w:after="0"/>
        <w:tabs>
          <w:tab w:leader="none" w:pos="8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March 19, 2026, the Bankruptcy Court shall have entered the Interim DIP Order;</w:t>
      </w:r>
    </w:p>
    <w:p>
      <w:pPr>
        <w:spacing w:after="0" w:line="225" w:lineRule="exact"/>
        <w:rPr>
          <w:rFonts w:ascii="Times New Roman" w:cs="Times New Roman" w:eastAsia="Times New Roman" w:hAnsi="Times New Roman"/>
          <w:sz w:val="18"/>
          <w:szCs w:val="18"/>
          <w:color w:val="auto"/>
        </w:rPr>
      </w:pPr>
    </w:p>
    <w:p>
      <w:pPr>
        <w:jc w:val="both"/>
        <w:ind w:right="20" w:firstLine="656"/>
        <w:spacing w:after="0" w:line="266" w:lineRule="auto"/>
        <w:tabs>
          <w:tab w:leader="none" w:pos="92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April 10, 2026, the Bankruptcy Court shall have entered the Bidding Procedures Order and approved the Bidding Procedures with a bid deadline (the “</w:t>
      </w:r>
      <w:r>
        <w:rPr>
          <w:rFonts w:ascii="Times New Roman" w:cs="Times New Roman" w:eastAsia="Times New Roman" w:hAnsi="Times New Roman"/>
          <w:sz w:val="18"/>
          <w:szCs w:val="18"/>
          <w:u w:val="single" w:color="auto"/>
          <w:color w:val="auto"/>
        </w:rPr>
        <w:t>Bid Deadline</w:t>
      </w:r>
      <w:r>
        <w:rPr>
          <w:rFonts w:ascii="Times New Roman" w:cs="Times New Roman" w:eastAsia="Times New Roman" w:hAnsi="Times New Roman"/>
          <w:sz w:val="18"/>
          <w:szCs w:val="18"/>
          <w:color w:val="auto"/>
        </w:rPr>
        <w:t>”) of no later than April 24, 2026, in form and substance reasonably satisfactory to the Required Lenders, and such order shall not have been reversed, modified, amended, stayed or vacated;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7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April 10, 2026, the Bankruptcy Court shall have entered the Final DIP Order, in form and substance reasonably satisfactory to the Required Lenders, and such order shall not have been reversed, modified, amended, stayed or vacated;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5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April 28, 2026, the Borrowers shall have commenced one or more Auctions for all or substantially all of the Loan Parties’ assets for an Acceptable Sale Transaction;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0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May 1, 2026, the Bankruptcy Court shall have held a hearing to approve the successful bid(s) and shall have entered a Sale Order authorizing and approving the sale of all or substantially all of the assets of the Loan Parties pursuant to one or more definitive purchase agreements that, in each case, provides for an Acceptable Sale Transaction (each, a “</w:t>
      </w:r>
      <w:r>
        <w:rPr>
          <w:rFonts w:ascii="Times New Roman" w:cs="Times New Roman" w:eastAsia="Times New Roman" w:hAnsi="Times New Roman"/>
          <w:sz w:val="18"/>
          <w:szCs w:val="18"/>
          <w:u w:val="single" w:color="auto"/>
          <w:color w:val="auto"/>
        </w:rPr>
        <w:t>Definitive Agreement</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6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May 4, 2026 (as such date may be extended solely to the extent necessary to obtain any applicable regulatory approval or the expiration of any applicable waiting period required under Hart-Scott-Rodino Antitrust Improvements Act of 1976, as amended, or any other applicable antitrust or competition law or regulation in connection with the consummation of such Acceptable Sale Transaction or otherwise with the prior written consent of the Required Lenders), the Borrowers shall have consummated an Acceptable Sale Transaction pursuant to, and in accordance with, the terms of the Sale Order and such Definitive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2" w:name="page133"/>
    <w:bookmarkEnd w:id="1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Initial DIP Order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NOTICE OF BORROWING REQUEST</w:t>
      </w: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UMB Bank, N.A., as DIP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Agency and Corporate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1412 Broadway, Suite 1606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Prital K. Patel, Vice President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Prital.Patel@umb.com; loanagency@umb.com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Reference is hereby made to the Debtor-in-Possession Credit Agreement dated as of March 25, 2026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by and among FAT BRANDS ROYALTY I, LLC, a Delaware limited liability company (“</w:t>
      </w:r>
      <w:r>
        <w:rPr>
          <w:rFonts w:ascii="Times New Roman" w:cs="Times New Roman" w:eastAsia="Times New Roman" w:hAnsi="Times New Roman"/>
          <w:sz w:val="18"/>
          <w:szCs w:val="18"/>
          <w:u w:val="single" w:color="auto"/>
          <w:color w:val="auto"/>
        </w:rPr>
        <w:t>FB Royalty</w:t>
      </w:r>
      <w:r>
        <w:rPr>
          <w:rFonts w:ascii="Times New Roman" w:cs="Times New Roman" w:eastAsia="Times New Roman" w:hAnsi="Times New Roman"/>
          <w:sz w:val="18"/>
          <w:szCs w:val="18"/>
          <w:color w:val="auto"/>
        </w:rPr>
        <w:t>”), FAT BRANDS FAZOLI’S NATIVE I, LLC, a Delaware limited liability company (“</w:t>
      </w:r>
      <w:r>
        <w:rPr>
          <w:rFonts w:ascii="Times New Roman" w:cs="Times New Roman" w:eastAsia="Times New Roman" w:hAnsi="Times New Roman"/>
          <w:sz w:val="18"/>
          <w:szCs w:val="18"/>
          <w:u w:val="single" w:color="auto"/>
          <w:color w:val="auto"/>
        </w:rPr>
        <w:t>FB Fazoli</w:t>
      </w:r>
      <w:r>
        <w:rPr>
          <w:rFonts w:ascii="Times New Roman" w:cs="Times New Roman" w:eastAsia="Times New Roman" w:hAnsi="Times New Roman"/>
          <w:sz w:val="18"/>
          <w:szCs w:val="18"/>
          <w:color w:val="auto"/>
        </w:rPr>
        <w:t>”), and FAT BRANDS GFG ROYALTY I, LLC, a Delaware limited liability company (“</w:t>
      </w:r>
      <w:r>
        <w:rPr>
          <w:rFonts w:ascii="Times New Roman" w:cs="Times New Roman" w:eastAsia="Times New Roman" w:hAnsi="Times New Roman"/>
          <w:sz w:val="18"/>
          <w:szCs w:val="18"/>
          <w:u w:val="single" w:color="auto"/>
          <w:color w:val="auto"/>
        </w:rPr>
        <w:t>FB GFG</w:t>
      </w:r>
      <w:r>
        <w:rPr>
          <w:rFonts w:ascii="Times New Roman" w:cs="Times New Roman" w:eastAsia="Times New Roman" w:hAnsi="Times New Roman"/>
          <w:sz w:val="18"/>
          <w:szCs w:val="18"/>
          <w:color w:val="auto"/>
        </w:rPr>
        <w:t>”, and together with FB Royalty and FB Fazoli, each a “</w:t>
      </w:r>
      <w:r>
        <w:rPr>
          <w:rFonts w:ascii="Times New Roman" w:cs="Times New Roman" w:eastAsia="Times New Roman" w:hAnsi="Times New Roman"/>
          <w:sz w:val="18"/>
          <w:szCs w:val="18"/>
          <w:u w:val="single" w:color="auto"/>
          <w:color w:val="auto"/>
        </w:rPr>
        <w:t>FBG DIP Borrower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FBG DIP Borrowers</w:t>
      </w:r>
      <w:r>
        <w:rPr>
          <w:rFonts w:ascii="Times New Roman" w:cs="Times New Roman" w:eastAsia="Times New Roman" w:hAnsi="Times New Roman"/>
          <w:sz w:val="18"/>
          <w:szCs w:val="18"/>
          <w:color w:val="auto"/>
        </w:rPr>
        <w:t>”), TWIN HOSPITALITY I, LLC, a Delaware limited liability company (the “</w:t>
      </w:r>
      <w:r>
        <w:rPr>
          <w:rFonts w:ascii="Times New Roman" w:cs="Times New Roman" w:eastAsia="Times New Roman" w:hAnsi="Times New Roman"/>
          <w:sz w:val="18"/>
          <w:szCs w:val="18"/>
          <w:u w:val="single" w:color="auto"/>
          <w:color w:val="auto"/>
        </w:rPr>
        <w:t>Twin DIP Borrower</w:t>
      </w:r>
      <w:r>
        <w:rPr>
          <w:rFonts w:ascii="Times New Roman" w:cs="Times New Roman" w:eastAsia="Times New Roman" w:hAnsi="Times New Roman"/>
          <w:sz w:val="18"/>
          <w:szCs w:val="18"/>
          <w:color w:val="auto"/>
        </w:rPr>
        <w:t>”, and together with the FBG DIP Borrowers,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FAT BRANDS, INC., as the Parent, TWIN HOSPITALITY GROUP INC., as the Twin Manager, each of the financial institutions initially a signatory thereto together with their successors and assignees (the “</w:t>
      </w:r>
      <w:r>
        <w:rPr>
          <w:rFonts w:ascii="Times New Roman" w:cs="Times New Roman" w:eastAsia="Times New Roman" w:hAnsi="Times New Roman"/>
          <w:sz w:val="18"/>
          <w:szCs w:val="18"/>
          <w:u w:val="single" w:color="auto"/>
          <w:color w:val="auto"/>
        </w:rPr>
        <w:t>DIP Lenders</w:t>
      </w:r>
      <w:r>
        <w:rPr>
          <w:rFonts w:ascii="Times New Roman" w:cs="Times New Roman" w:eastAsia="Times New Roman" w:hAnsi="Times New Roman"/>
          <w:sz w:val="18"/>
          <w:szCs w:val="18"/>
          <w:color w:val="auto"/>
        </w:rPr>
        <w:t>”) and UMB BANK, N.A., as administrative agent and collateral agent (the “</w:t>
      </w:r>
      <w:r>
        <w:rPr>
          <w:rFonts w:ascii="Times New Roman" w:cs="Times New Roman" w:eastAsia="Times New Roman" w:hAnsi="Times New Roman"/>
          <w:sz w:val="18"/>
          <w:szCs w:val="18"/>
          <w:u w:val="single" w:color="auto"/>
          <w:color w:val="auto"/>
        </w:rPr>
        <w:t>DIP Agent</w:t>
      </w:r>
      <w:r>
        <w:rPr>
          <w:rFonts w:ascii="Times New Roman" w:cs="Times New Roman" w:eastAsia="Times New Roman" w:hAnsi="Times New Roman"/>
          <w:sz w:val="18"/>
          <w:szCs w:val="18"/>
          <w:color w:val="auto"/>
        </w:rPr>
        <w:t>”). Capitalized terms used herein, and not otherwise defined herein, have their respective meanings given to them in the Credit Agreement.</w:t>
      </w:r>
    </w:p>
    <w:p>
      <w:pPr>
        <w:spacing w:after="0" w:line="188" w:lineRule="exact"/>
        <w:rPr>
          <w:sz w:val="20"/>
          <w:szCs w:val="20"/>
          <w:color w:val="auto"/>
        </w:rPr>
      </w:pPr>
    </w:p>
    <w:p>
      <w:pPr>
        <w:jc w:val="both"/>
        <w:ind w:left="1100" w:hanging="444"/>
        <w:spacing w:after="0" w:line="235" w:lineRule="auto"/>
        <w:tabs>
          <w:tab w:leader="none" w:pos="11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2(d) of the Credit Agreement, the [FBG DIP Borrower/Twin DIP Borrower] hereby requests that the [FBG DIP Lenders/Twin DIP Lenders] make the [FBG New Money Term Loans/ Twin New Money Term Loans] to the [FBG DIP Borrower/Twin DIP Borrower] in an aggregate principal amount equal to $______________ on ___________, 20__</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Borrowing Date</w:t>
      </w:r>
      <w:r>
        <w:rPr>
          <w:rFonts w:ascii="Times New Roman" w:cs="Times New Roman" w:eastAsia="Times New Roman" w:hAnsi="Times New Roman"/>
          <w:sz w:val="18"/>
          <w:szCs w:val="18"/>
          <w:color w:val="auto"/>
        </w:rPr>
        <w:t>”). The [FBG DIP Lenders/Twin DIP Lenders] are requested to fund an aggregate amount equal to $_____________ to the DIP Agent in immediately available funds not later than 12:00 p.m. noon, New York City time, on the Borrowing Date.</w:t>
      </w:r>
    </w:p>
    <w:p>
      <w:pPr>
        <w:spacing w:after="0" w:line="199" w:lineRule="exact"/>
        <w:rPr>
          <w:rFonts w:ascii="Times New Roman" w:cs="Times New Roman" w:eastAsia="Times New Roman" w:hAnsi="Times New Roman"/>
          <w:sz w:val="18"/>
          <w:szCs w:val="18"/>
          <w:color w:val="auto"/>
        </w:rPr>
      </w:pPr>
    </w:p>
    <w:p>
      <w:pPr>
        <w:jc w:val="both"/>
        <w:ind w:left="1100" w:hanging="444"/>
        <w:spacing w:after="0" w:line="266" w:lineRule="auto"/>
        <w:tabs>
          <w:tab w:leader="none" w:pos="11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[FBG DIP Borrower/Twin DIP Borrower] instruct the DIP Agent to disburse the net amount of New Money Term Loans received by the DIP Agent from the [FBG DIP Lenders/Twin DIP Lenders] to the [FBG DIP Borrower/Twin DIP Borrower] by wire transfer to the following account (which is a Segregated Account):</w:t>
      </w:r>
    </w:p>
    <w:p>
      <w:pPr>
        <w:spacing w:after="0" w:line="17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Wire Instructions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17830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5" w:lineRule="exact"/>
        <w:rPr>
          <w:sz w:val="20"/>
          <w:szCs w:val="20"/>
          <w:color w:val="auto"/>
        </w:rPr>
      </w:pPr>
    </w:p>
    <w:p>
      <w:pPr>
        <w:ind w:firstLine="8"/>
        <w:spacing w:after="0" w:line="195" w:lineRule="auto"/>
        <w:tabs>
          <w:tab w:leader="none" w:pos="139" w:val="left"/>
        </w:tabs>
        <w:numPr>
          <w:ilvl w:val="0"/>
          <w:numId w:val="1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Must be a Business Day. A Notice of Borrowing must be received by the DIP Agent no later than 12:00 p.m. New York City time at least three (3) Business Days prior to the date of the proposed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4" w:name="page135"/>
    <w:bookmarkEnd w:id="134"/>
    <w:p>
      <w:pPr>
        <w:ind w:left="1100" w:hanging="444"/>
        <w:spacing w:after="0" w:line="282" w:lineRule="auto"/>
        <w:tabs>
          <w:tab w:leader="none" w:pos="11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Loans will be used for the following purposes which are consistent with the terms of Section 5(c)(xii) of the Credit Agreement:</w:t>
      </w:r>
    </w:p>
    <w:p>
      <w:pPr>
        <w:spacing w:after="0" w:line="159"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Purposes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1100" w:hanging="444"/>
        <w:spacing w:after="0" w:line="255" w:lineRule="auto"/>
        <w:tabs>
          <w:tab w:leader="none" w:pos="11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Section 2(f) of the Credit Agreement, the FBG DIP Borrowers hereby instruct the DIP Agent that, effective upon the occurrence of the Roll-Up Effective Time with respect to this Borrowing, the DIP Agent shall record in the Register that the aggregate amount of Roll-Up Loans specified on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shall be deemed borrowed by the FBG DIP Borrowers and loaned by the FBG DIP Lenders identified therein in the respective amounts set forth opposite such Lenders’ names.</w:t>
      </w:r>
    </w:p>
    <w:p>
      <w:pPr>
        <w:spacing w:after="0" w:line="2" w:lineRule="exact"/>
        <w:rPr>
          <w:rFonts w:ascii="Times New Roman" w:cs="Times New Roman" w:eastAsia="Times New Roman" w:hAnsi="Times New Roman"/>
          <w:sz w:val="18"/>
          <w:szCs w:val="18"/>
          <w:color w:val="auto"/>
        </w:rPr>
      </w:pPr>
    </w:p>
    <w:p>
      <w:pPr>
        <w:jc w:val="both"/>
        <w:ind w:left="1100" w:hanging="444"/>
        <w:spacing w:after="0" w:line="253" w:lineRule="auto"/>
        <w:tabs>
          <w:tab w:leader="none" w:pos="11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Section 2(f) of the Credit Agreement, the Twin DIP Borrower hereby instructs the DIP Agent that, effective upon the occurrence of the Roll-Up Effective Time with respect to this Borrowing, the DIP Agent shall record in the Register that the aggregate amount of Roll-Up Loans specified on </w:t>
      </w:r>
      <w:r>
        <w:rPr>
          <w:rFonts w:ascii="Times New Roman" w:cs="Times New Roman" w:eastAsia="Times New Roman" w:hAnsi="Times New Roman"/>
          <w:sz w:val="18"/>
          <w:szCs w:val="18"/>
          <w:u w:val="single" w:color="auto"/>
          <w:color w:val="auto"/>
        </w:rPr>
        <w:t>Annex II</w:t>
      </w:r>
      <w:r>
        <w:rPr>
          <w:rFonts w:ascii="Times New Roman" w:cs="Times New Roman" w:eastAsia="Times New Roman" w:hAnsi="Times New Roman"/>
          <w:sz w:val="18"/>
          <w:szCs w:val="18"/>
          <w:color w:val="auto"/>
        </w:rPr>
        <w:t xml:space="preserve"> hereto shall be deemed borrowed by the Twin Borrower and loaned by the Twin DIP Lenders identified therein in the respective amounts set forth opposite such Lenders’ names.</w:t>
      </w:r>
    </w:p>
    <w:p>
      <w:pPr>
        <w:spacing w:after="0" w:line="18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The undersigned certifies, represents and warrants to the DIP Agent and the [FBG DIP Lenders/Twin DIP Lenders] (in such capacity and not in an individual capacity) on behalf of the Borrowers that the conditions to lending specified in Section [4(a),]</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[4(a) and (b)]</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[4(a), (b) and (c)]</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xml:space="preserve"> of the Credit Agreement are satisfied or waived as of the date hereof and that the Borrowers are entitled to receive the requested Borrowing under the terms and conditions of the Credit Agreement.</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on Following Page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White &amp;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78" w:lineRule="exact"/>
        <w:rPr>
          <w:sz w:val="20"/>
          <w:szCs w:val="20"/>
          <w:color w:val="auto"/>
        </w:rPr>
      </w:pPr>
    </w:p>
    <w:p>
      <w:pPr>
        <w:ind w:left="120" w:hanging="112"/>
        <w:spacing w:after="0"/>
        <w:tabs>
          <w:tab w:leader="none" w:pos="120" w:val="left"/>
        </w:tabs>
        <w:numPr>
          <w:ilvl w:val="0"/>
          <w:numId w:val="1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Applies only to the Borrowing on the Closing Date.</w:t>
      </w:r>
    </w:p>
    <w:p>
      <w:pPr>
        <w:spacing w:after="0" w:line="128" w:lineRule="exact"/>
        <w:rPr>
          <w:sz w:val="20"/>
          <w:szCs w:val="20"/>
          <w:color w:val="auto"/>
        </w:rPr>
      </w:pPr>
    </w:p>
    <w:p>
      <w:pPr>
        <w:ind w:left="120" w:hanging="112"/>
        <w:spacing w:after="0"/>
        <w:tabs>
          <w:tab w:leader="none" w:pos="120" w:val="left"/>
        </w:tabs>
        <w:numPr>
          <w:ilvl w:val="0"/>
          <w:numId w:val="12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Applies only to the Borrowing on the Second Borrowing Date.</w:t>
      </w:r>
    </w:p>
    <w:p>
      <w:pPr>
        <w:spacing w:after="0" w:line="128" w:lineRule="exact"/>
        <w:rPr>
          <w:sz w:val="20"/>
          <w:szCs w:val="20"/>
          <w:color w:val="auto"/>
        </w:rPr>
      </w:pPr>
    </w:p>
    <w:p>
      <w:pPr>
        <w:ind w:left="120" w:hanging="112"/>
        <w:spacing w:after="0"/>
        <w:tabs>
          <w:tab w:leader="none" w:pos="120" w:val="left"/>
        </w:tabs>
        <w:numPr>
          <w:ilvl w:val="0"/>
          <w:numId w:val="12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Applies only to the Borrowing on the Third Borrowing Date.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5" w:name="page136"/>
    <w:bookmarkEnd w:id="135"/>
    <w:p>
      <w:pPr>
        <w:spacing w:after="0" w:line="282" w:lineRule="auto"/>
        <w:rPr>
          <w:sz w:val="20"/>
          <w:szCs w:val="20"/>
          <w:color w:val="auto"/>
        </w:rPr>
      </w:pPr>
      <w:r>
        <w:rPr>
          <w:rFonts w:ascii="Times New Roman" w:cs="Times New Roman" w:eastAsia="Times New Roman" w:hAnsi="Times New Roman"/>
          <w:sz w:val="18"/>
          <w:szCs w:val="18"/>
          <w:color w:val="auto"/>
        </w:rPr>
        <w:t>The undersigned certifies that he/she is the below applicable officer or authorized signatory of the Borrowers, and that as such he/she is authorized to execute this Notice of Borrowing on behalf of the Borrowers.</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FAT BRANDS ROYALTY I,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FBG DIP Borrower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FAT BRANDS FAZOLI’S NATIVE I,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FBG DIP Borrower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FAT BRANDS GFG ROYALTY I, LLC,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FBG DIP Borrower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TWIN HOSPITALITY I,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Twin DIP Borrower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FBG</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96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FBG DIP Lender</w:t>
            </w:r>
          </w:p>
        </w:tc>
        <w:tc>
          <w:tcPr>
            <w:tcW w:w="404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FBG New Money Term Loans Funded in Current</w:t>
            </w:r>
          </w:p>
        </w:tc>
        <w:tc>
          <w:tcPr>
            <w:tcW w:w="424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Roll-Up Loan Amount Deemed Borrowed in</w:t>
            </w:r>
          </w:p>
        </w:tc>
      </w:tr>
      <w:tr>
        <w:trPr>
          <w:trHeight w:val="238"/>
        </w:trPr>
        <w:tc>
          <w:tcPr>
            <w:tcW w:w="296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404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Borrowing</w:t>
            </w:r>
          </w:p>
        </w:tc>
        <w:tc>
          <w:tcPr>
            <w:tcW w:w="424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Current Borrowing</w:t>
            </w:r>
          </w:p>
        </w:tc>
      </w:tr>
      <w:tr>
        <w:trPr>
          <w:trHeight w:val="209"/>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4240" w:type="dxa"/>
            <w:vAlign w:val="bottom"/>
            <w:tcBorders>
              <w:bottom w:val="single" w:sz="8" w:color="auto"/>
              <w:right w:val="single" w:sz="8" w:color="auto"/>
            </w:tcBorders>
          </w:tcPr>
          <w:p>
            <w:pPr>
              <w:spacing w:after="0"/>
              <w:rPr>
                <w:sz w:val="18"/>
                <w:szCs w:val="18"/>
                <w:color w:val="auto"/>
              </w:rPr>
            </w:pPr>
          </w:p>
        </w:tc>
      </w:tr>
      <w:tr>
        <w:trPr>
          <w:trHeight w:val="209"/>
        </w:trPr>
        <w:tc>
          <w:tcPr>
            <w:tcW w:w="2960" w:type="dxa"/>
            <w:vAlign w:val="bottom"/>
            <w:tcBorders>
              <w:left w:val="single" w:sz="8" w:color="auto"/>
              <w:bottom w:val="single" w:sz="8" w:color="auto"/>
              <w:right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4240" w:type="dxa"/>
            <w:vAlign w:val="bottom"/>
            <w:tcBorders>
              <w:bottom w:val="single" w:sz="8" w:color="auto"/>
              <w:right w:val="single" w:sz="8" w:color="auto"/>
            </w:tcBorders>
          </w:tcPr>
          <w:p>
            <w:pPr>
              <w:spacing w:after="0"/>
              <w:rPr>
                <w:sz w:val="18"/>
                <w:szCs w:val="18"/>
                <w:color w:val="auto"/>
              </w:rPr>
            </w:pPr>
          </w:p>
        </w:tc>
      </w:tr>
      <w:tr>
        <w:trPr>
          <w:trHeight w:val="426"/>
        </w:trPr>
        <w:tc>
          <w:tcPr>
            <w:tcW w:w="296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Annex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Twin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180" w:type="dxa"/>
            <w:vAlign w:val="bottom"/>
            <w:tcBorders>
              <w:top w:val="single" w:sz="8" w:color="auto"/>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8"/>
                <w:szCs w:val="18"/>
                <w:b w:val="1"/>
                <w:bCs w:val="1"/>
                <w:color w:val="auto"/>
              </w:rPr>
              <w:t>Twin DIP Lender</w:t>
            </w:r>
          </w:p>
        </w:tc>
        <w:tc>
          <w:tcPr>
            <w:tcW w:w="382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Twin New Money Term Loans Funded in</w:t>
            </w:r>
          </w:p>
        </w:tc>
        <w:tc>
          <w:tcPr>
            <w:tcW w:w="4240" w:type="dxa"/>
            <w:vAlign w:val="bottom"/>
            <w:tcBorders>
              <w:top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Roll-Up Loan Amount Deemed Borrowed in</w:t>
            </w:r>
          </w:p>
        </w:tc>
      </w:tr>
      <w:tr>
        <w:trPr>
          <w:trHeight w:val="238"/>
        </w:trPr>
        <w:tc>
          <w:tcPr>
            <w:tcW w:w="318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382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Current Borrowing</w:t>
            </w:r>
          </w:p>
        </w:tc>
        <w:tc>
          <w:tcPr>
            <w:tcW w:w="4240" w:type="dxa"/>
            <w:vAlign w:val="bottom"/>
            <w:tcBorders>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8"/>
                <w:szCs w:val="18"/>
                <w:b w:val="1"/>
                <w:bCs w:val="1"/>
                <w:color w:val="auto"/>
              </w:rPr>
              <w:t>Current Borrowing</w:t>
            </w:r>
          </w:p>
        </w:tc>
      </w:tr>
      <w:tr>
        <w:trPr>
          <w:trHeight w:val="209"/>
        </w:trPr>
        <w:tc>
          <w:tcPr>
            <w:tcW w:w="3180" w:type="dxa"/>
            <w:vAlign w:val="bottom"/>
            <w:tcBorders>
              <w:left w:val="single" w:sz="8" w:color="auto"/>
              <w:bottom w:val="single" w:sz="8" w:color="auto"/>
              <w:right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c>
          <w:tcPr>
            <w:tcW w:w="4240" w:type="dxa"/>
            <w:vAlign w:val="bottom"/>
            <w:tcBorders>
              <w:bottom w:val="single" w:sz="8" w:color="auto"/>
              <w:right w:val="single" w:sz="8" w:color="auto"/>
            </w:tcBorders>
          </w:tcPr>
          <w:p>
            <w:pPr>
              <w:spacing w:after="0"/>
              <w:rPr>
                <w:sz w:val="18"/>
                <w:szCs w:val="18"/>
                <w:color w:val="auto"/>
              </w:rPr>
            </w:pPr>
          </w:p>
        </w:tc>
      </w:tr>
      <w:tr>
        <w:trPr>
          <w:trHeight w:val="209"/>
        </w:trPr>
        <w:tc>
          <w:tcPr>
            <w:tcW w:w="3180" w:type="dxa"/>
            <w:vAlign w:val="bottom"/>
            <w:tcBorders>
              <w:left w:val="single" w:sz="8" w:color="auto"/>
              <w:bottom w:val="single" w:sz="8" w:color="auto"/>
              <w:right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spacing w:after="0"/>
              <w:rPr>
                <w:sz w:val="18"/>
                <w:szCs w:val="18"/>
                <w:color w:val="auto"/>
              </w:rPr>
            </w:pPr>
          </w:p>
        </w:tc>
        <w:tc>
          <w:tcPr>
            <w:tcW w:w="4240" w:type="dxa"/>
            <w:vAlign w:val="bottom"/>
            <w:tcBorders>
              <w:bottom w:val="single" w:sz="8" w:color="auto"/>
              <w:right w:val="single" w:sz="8" w:color="auto"/>
            </w:tcBorders>
          </w:tcPr>
          <w:p>
            <w:pPr>
              <w:spacing w:after="0"/>
              <w:rPr>
                <w:sz w:val="18"/>
                <w:szCs w:val="18"/>
                <w:color w:val="auto"/>
              </w:rPr>
            </w:pPr>
          </w:p>
        </w:tc>
      </w:tr>
      <w:tr>
        <w:trPr>
          <w:trHeight w:val="426"/>
        </w:trPr>
        <w:tc>
          <w:tcPr>
            <w:tcW w:w="31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FBG GUARANTY</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color w:val="auto"/>
        </w:rPr>
        <w:t>FBG GUARANTY</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FBG GUARANTY (this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dated as of [ ], 2026 executed and delivered by each of the undersigned and the other Persons from time to time party hereto pursuant to the execution and delivery of an Accession Agreement in the form of Annex I hereto (all of the undersigned, together with such other Persons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in favor of UMB BANK, N.A., in its capacity as administrative agent and collateral agent for the FBG DIP Lenders and the other FBG Secured Parties (as each such term is defined in the Credit Agreement (as defined below)) (in such capacities, the “</w:t>
      </w:r>
      <w:r>
        <w:rPr>
          <w:rFonts w:ascii="Times New Roman" w:cs="Times New Roman" w:eastAsia="Times New Roman" w:hAnsi="Times New Roman"/>
          <w:sz w:val="18"/>
          <w:szCs w:val="18"/>
          <w:u w:val="single" w:color="auto"/>
          <w:color w:val="auto"/>
        </w:rPr>
        <w:t>DIP Agent</w:t>
      </w:r>
      <w:r>
        <w:rPr>
          <w:rFonts w:ascii="Times New Roman" w:cs="Times New Roman" w:eastAsia="Times New Roman" w:hAnsi="Times New Roman"/>
          <w:sz w:val="18"/>
          <w:szCs w:val="18"/>
          <w:color w:val="auto"/>
        </w:rPr>
        <w:t>”) under that certain Debtor-in-Possession Credit Agreement, dated as of the date hereof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by and among,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FAT BRANDS ROYALTY I, LLC, a Delaware limited liability company and a debtor and debtor-in-possession under Chapter 11 of the Bankruptcy Code (“</w:t>
      </w:r>
      <w:r>
        <w:rPr>
          <w:rFonts w:ascii="Times New Roman" w:cs="Times New Roman" w:eastAsia="Times New Roman" w:hAnsi="Times New Roman"/>
          <w:sz w:val="18"/>
          <w:szCs w:val="18"/>
          <w:u w:val="single" w:color="auto"/>
          <w:color w:val="auto"/>
        </w:rPr>
        <w:t>FB Royalty</w:t>
      </w:r>
      <w:r>
        <w:rPr>
          <w:rFonts w:ascii="Times New Roman" w:cs="Times New Roman" w:eastAsia="Times New Roman" w:hAnsi="Times New Roman"/>
          <w:sz w:val="18"/>
          <w:szCs w:val="18"/>
          <w:color w:val="auto"/>
        </w:rPr>
        <w:t>”), FAT BRANDS FAZOLI’S NATIVE I, LLC, a Delaware limited liability company and a debtor and debtor-in-possession under Chapter 11 of the Bankruptcy Code (“</w:t>
      </w:r>
      <w:r>
        <w:rPr>
          <w:rFonts w:ascii="Times New Roman" w:cs="Times New Roman" w:eastAsia="Times New Roman" w:hAnsi="Times New Roman"/>
          <w:sz w:val="18"/>
          <w:szCs w:val="18"/>
          <w:u w:val="single" w:color="auto"/>
          <w:color w:val="auto"/>
        </w:rPr>
        <w:t>FB Fazoli</w:t>
      </w:r>
      <w:r>
        <w:rPr>
          <w:rFonts w:ascii="Times New Roman" w:cs="Times New Roman" w:eastAsia="Times New Roman" w:hAnsi="Times New Roman"/>
          <w:sz w:val="18"/>
          <w:szCs w:val="18"/>
          <w:color w:val="auto"/>
        </w:rPr>
        <w:t>”), and FAT BRANDS GFG ROYALTY I, LLC, a Delaware limited liability company and a debtor and debtor-in-possession under Chapter 11 of the Bankruptcy Code (“</w:t>
      </w:r>
      <w:r>
        <w:rPr>
          <w:rFonts w:ascii="Times New Roman" w:cs="Times New Roman" w:eastAsia="Times New Roman" w:hAnsi="Times New Roman"/>
          <w:sz w:val="18"/>
          <w:szCs w:val="18"/>
          <w:u w:val="single" w:color="auto"/>
          <w:color w:val="auto"/>
        </w:rPr>
        <w:t>FB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GFG</w:t>
      </w:r>
      <w:r>
        <w:rPr>
          <w:rFonts w:ascii="Times New Roman" w:cs="Times New Roman" w:eastAsia="Times New Roman" w:hAnsi="Times New Roman"/>
          <w:sz w:val="18"/>
          <w:szCs w:val="18"/>
          <w:color w:val="auto"/>
        </w:rPr>
        <w:t>”, and together with FB Royalty and FB Fazoli,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financial institutions party thereto and their successors and assigns under Section 8(d) thereof, the DIP Agent, and the other parties thereto, for its benefit and the benefit of the FBG DIP Lenders and the other FBG Secured Parties (the DIP Agent, the FBG DIP Lenders and the other FBG Secured Parties, each individually a “</w:t>
      </w:r>
      <w:r>
        <w:rPr>
          <w:rFonts w:ascii="Times New Roman" w:cs="Times New Roman" w:eastAsia="Times New Roman" w:hAnsi="Times New Roman"/>
          <w:sz w:val="18"/>
          <w:szCs w:val="18"/>
          <w:u w:val="single" w:color="auto"/>
          <w:color w:val="auto"/>
        </w:rPr>
        <w:t>Guarantied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Guarantied Parties</w:t>
      </w:r>
      <w:r>
        <w:rPr>
          <w:rFonts w:ascii="Times New Roman" w:cs="Times New Roman" w:eastAsia="Times New Roman" w:hAnsi="Times New Roman"/>
          <w:sz w:val="18"/>
          <w:szCs w:val="18"/>
          <w:color w:val="auto"/>
        </w:rPr>
        <w:t>”). Capitalized terms used and not otherwise defined herein shall have their respective meanings given to such terms in the Credit Agreement.</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WHEREAS, pursuant to the Credit Agreement, the FBG DIP Lenders have agreed to make available to the Borrowers certain financial accommodations on the terms and conditions set forth in the Credit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certain Guarantors are parent entities that own or control, directly or indirectly, the Borrower, and each other Guarantor is owned or controlled by one or more of the Borrowers and/or such parent entities;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each Borrower and each Guarantor, though separate legal entities, are mutually dependent on each other in the conduct of their respective businesses as an integrated operation and have determined it to be in their mutual best interests to obtain financing from the Guarantied Parties through their collective efforts;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each Guarantor acknowledges that it will receive direct and indirect benefits from the Guarantied Parties making such financial accommodations available to the Borrowers under the Credit Agreement and, accordingly, each Guarantor has agreed to, jointly and severally, absolutely, irrevocably and unconditionally guarantee each Borrower’s obligations to the Guarantied Parties on the terms and conditions contained herein; and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each Guarantor’s execution and delivery of this Guaranty is a condition precedent to the DIP Agent and the other Guarantied Parties’ making, and continuing to make, such financial accommodations to the Borrowers and to the DIP Agent and the other Guarantied Parties entering into the Credit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by each Guarantor,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agrees as follows: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Except as otherwise provided herein and subject to the entry and terms of the DIP Order, each Guarantor hereby jointly and severally, absolutely, irrevocably and unconditionally guaranties the due and punctual payment and performance when due, whether at stated maturity, by acceleration or otherwise, of all of the following (collectively referred to as the “</w:t>
      </w:r>
      <w:r>
        <w:rPr>
          <w:rFonts w:ascii="Times New Roman" w:cs="Times New Roman" w:eastAsia="Times New Roman" w:hAnsi="Times New Roman"/>
          <w:sz w:val="18"/>
          <w:szCs w:val="18"/>
          <w:u w:val="single" w:color="auto"/>
          <w:color w:val="auto"/>
        </w:rPr>
        <w:t>Guarantied Obligations</w:t>
      </w:r>
      <w:r>
        <w:rPr>
          <w:rFonts w:ascii="Times New Roman" w:cs="Times New Roman" w:eastAsia="Times New Roman" w:hAnsi="Times New Roman"/>
          <w:sz w:val="18"/>
          <w:szCs w:val="18"/>
          <w:color w:val="auto"/>
        </w:rPr>
        <w:t>”): (a) all indebtedness and obligations owing by the Borrowers or any other FBG DIP Loan Party to any FBG DIP Lender, the DIP Agent or any other FBG Secured Party under or in connection with the Credit Agreement and any other DIP Loan Document to which any Borrower or such other FBG DIP Loan Party is a party, including without limitation, the repayment of all principal of the DIP Loans extended by the FBG DIP Lenders, and the payment of all interest, fees, charges, reasonable attorneys’ fees and other amounts payable to any FBG Secured Party thereunder or in connection therewith; (b) any and all extensions, renewals, modifications, amendments or substitutions of the foregoing; (c) all expenses, including, without limitation, reasonable attorneys’ fees and disbursements, that are incurred by the DIP Agent or any other Guarantied Party in the enforcement of any of the foregoing or any obligation of such Guarantor hereunder; and (d) all other FBG DIP Obligations.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Guaranty of Payment and Not of Collection</w:t>
      </w:r>
      <w:r>
        <w:rPr>
          <w:rFonts w:ascii="Times New Roman" w:cs="Times New Roman" w:eastAsia="Times New Roman" w:hAnsi="Times New Roman"/>
          <w:sz w:val="18"/>
          <w:szCs w:val="18"/>
          <w:color w:val="auto"/>
        </w:rPr>
        <w:t>. This Guaranty is a guaranty of payment, and not of collection, and a debt of each Guarantor for its own account. Accordingly, the Guarantied Parties shall not be obligated or required before enforcing this Guaranty against any Guarantor: (a) to pursue any right or remedy the Guarantied Parties may have against the Borrowers, any other FBG DIP Loan Party or any other Person or commence any suit or other proceeding against the Borrowers, any other FBG DIP Loan Party or any other Person in any court or other tribunal; (b) to make any claim in a liquidation or bankruptcy of the Borrowers, any other FBG DIP Loan Party or any other Person; or (c) to make demand of the Borrowers, any other FBG DIP Loan Party or any other Person or to enforce or seek to enforce or realize upon any collateral security held by the Guarantied Parties which may secure any of the Guarantied Obligations.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Guaranty Absolute</w:t>
      </w:r>
      <w:r>
        <w:rPr>
          <w:rFonts w:ascii="Times New Roman" w:cs="Times New Roman" w:eastAsia="Times New Roman" w:hAnsi="Times New Roman"/>
          <w:sz w:val="18"/>
          <w:szCs w:val="18"/>
          <w:color w:val="auto"/>
        </w:rPr>
        <w:t>. Subject to the entry and terms of the DIP Order, each Guarantor guarantees that the Guarantied Obligations will be paid strictly in accordance with the terms of the documents evidencing the same, regardless of any applicable laws now or hereafter in effect in any jurisdiction affecting any of such terms or the rights of the Guarantied Parties with respect thereto. Subject to the DIP Order, the liability of each Guarantor under this Guaranty shall be absolute, irrevocable and unconditional in accordance with its terms and shall remain in full force and effect without regard to, and shall not be released, suspended, discharged, terminated or otherwise affected by, any circumstance or occurrence whatsoever, including without limitation, the following (whether or not such Guarantor consents thereto or has notice thereof):</w:t>
      </w:r>
    </w:p>
    <w:p>
      <w:pPr>
        <w:spacing w:after="0" w:line="187" w:lineRule="exact"/>
        <w:rPr>
          <w:sz w:val="20"/>
          <w:szCs w:val="20"/>
          <w:color w:val="auto"/>
        </w:rPr>
      </w:pPr>
    </w:p>
    <w:p>
      <w:pPr>
        <w:jc w:val="both"/>
        <w:ind w:left="340" w:firstLine="640"/>
        <w:spacing w:after="0" w:line="255" w:lineRule="auto"/>
        <w:tabs>
          <w:tab w:leader="none" w:pos="122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change in the amount, interest rate or due date or other term of any of the Guarantied Obligations, (ii) any change in the time, place or manner of payment of all or any portion of the Guarantied Obligations, (iii) except as expressly set forth therein, any amendment or waiver of, or consent to the departure from or other indulgence with respect to, the Credit Agreement, any other DIP Loan Document, or any other document or instrument evidencing or relating to any Guarantied Obligations, or (iv) except as expressly set forth therein, any waiver, renewal, extension, addition, or supplement to, or deletion from, or any other action or inaction under or in respect of, the Credit Agreement, any of the other DIP Loan Documents, or any other documents, instruments or agreements relating to the Guarantied Obligations or any other instrument or agreement referred to therein or evidencing any Guarantied Obligations or any assignment or transfer of any of the foregoing;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1" w:name="page142"/>
    <w:bookmarkEnd w:id="141"/>
    <w:p>
      <w:pPr>
        <w:ind w:firstLine="639"/>
        <w:spacing w:after="0" w:line="282" w:lineRule="auto"/>
        <w:tabs>
          <w:tab w:leader="none" w:pos="89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the Credit Agreement, any of the other DIP Loan Documents or any other document, instrument or agreement referred to therein or evidencing any Guarantied Obligations or any assignment or transfer of any of the foregoing;</w:t>
      </w:r>
    </w:p>
    <w:p>
      <w:pPr>
        <w:spacing w:after="0" w:line="161" w:lineRule="exact"/>
        <w:rPr>
          <w:rFonts w:ascii="Times New Roman" w:cs="Times New Roman" w:eastAsia="Times New Roman" w:hAnsi="Times New Roman"/>
          <w:sz w:val="18"/>
          <w:szCs w:val="18"/>
          <w:color w:val="auto"/>
        </w:rPr>
      </w:pPr>
    </w:p>
    <w:p>
      <w:pPr>
        <w:ind w:firstLine="639"/>
        <w:spacing w:after="0" w:line="282" w:lineRule="auto"/>
        <w:tabs>
          <w:tab w:leader="none" w:pos="88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furnishing to the Guarantied Parties of any security for the Guarantied Obligations, or any sale, exchange, release or surrender of, or realization on, any collateral securing any of the Guarantied Obligations;</w:t>
      </w:r>
    </w:p>
    <w:p>
      <w:pPr>
        <w:spacing w:after="0" w:line="161" w:lineRule="exact"/>
        <w:rPr>
          <w:rFonts w:ascii="Times New Roman" w:cs="Times New Roman" w:eastAsia="Times New Roman" w:hAnsi="Times New Roman"/>
          <w:sz w:val="18"/>
          <w:szCs w:val="18"/>
          <w:color w:val="auto"/>
        </w:rPr>
      </w:pPr>
    </w:p>
    <w:p>
      <w:pPr>
        <w:jc w:val="both"/>
        <w:ind w:firstLine="639"/>
        <w:spacing w:after="0" w:line="266" w:lineRule="auto"/>
        <w:tabs>
          <w:tab w:leader="none" w:pos="91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variation, extension, waiver, release, settlement or compromise of any of the Guarantied Obligations, any security therefor, or any liability of any other party with respect to the Guarantied Obligations, or any subordination of the payment of the Guarantied Obligations to the payment of any other liability of the Borrowers or any other FBG DIP Loan Party;</w:t>
      </w:r>
    </w:p>
    <w:p>
      <w:pPr>
        <w:spacing w:after="0" w:line="175" w:lineRule="exact"/>
        <w:rPr>
          <w:rFonts w:ascii="Times New Roman" w:cs="Times New Roman" w:eastAsia="Times New Roman" w:hAnsi="Times New Roman"/>
          <w:sz w:val="18"/>
          <w:szCs w:val="18"/>
          <w:color w:val="auto"/>
        </w:rPr>
      </w:pPr>
    </w:p>
    <w:p>
      <w:pPr>
        <w:jc w:val="both"/>
        <w:ind w:firstLine="639"/>
        <w:spacing w:after="0" w:line="266" w:lineRule="auto"/>
        <w:tabs>
          <w:tab w:leader="none" w:pos="90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bankruptcy, insolvency, reorganization, composition, adjustment, dissolution, liquidation or other like proceeding relating to such Guarantor, the Borrowers, any other FBG DIP Loan Party or any other Person, or any action taken with respect to this Guaranty by any trustee or receiver, or by any court, in any such proceeding;</w:t>
      </w:r>
    </w:p>
    <w:p>
      <w:pPr>
        <w:spacing w:after="0" w:line="175" w:lineRule="exact"/>
        <w:rPr>
          <w:rFonts w:ascii="Times New Roman" w:cs="Times New Roman" w:eastAsia="Times New Roman" w:hAnsi="Times New Roman"/>
          <w:sz w:val="18"/>
          <w:szCs w:val="18"/>
          <w:color w:val="auto"/>
        </w:rPr>
      </w:pPr>
    </w:p>
    <w:p>
      <w:pPr>
        <w:ind w:firstLine="639"/>
        <w:spacing w:after="0" w:line="282" w:lineRule="auto"/>
        <w:tabs>
          <w:tab w:leader="none" w:pos="86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failure to act by any Borrower, any other FBG DIP Loan Party or any other Person which may adversely affect such Guarantor’s subrogation rights, if any, against any Borrower or any other FBG DIP Loan Party to recover payments made under this Guaranty;</w:t>
      </w:r>
    </w:p>
    <w:p>
      <w:pPr>
        <w:spacing w:after="0" w:line="161" w:lineRule="exact"/>
        <w:rPr>
          <w:rFonts w:ascii="Times New Roman" w:cs="Times New Roman" w:eastAsia="Times New Roman" w:hAnsi="Times New Roman"/>
          <w:sz w:val="18"/>
          <w:szCs w:val="18"/>
          <w:color w:val="auto"/>
        </w:rPr>
      </w:pPr>
    </w:p>
    <w:p>
      <w:pPr>
        <w:ind w:firstLine="639"/>
        <w:spacing w:after="0" w:line="282" w:lineRule="auto"/>
        <w:tabs>
          <w:tab w:leader="none" w:pos="89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non-perfection or impairment of any security interest or other Lien on any collateral, if any, securing in any way any of the Guarantied Obligations;</w:t>
      </w:r>
    </w:p>
    <w:p>
      <w:pPr>
        <w:spacing w:after="0" w:line="161" w:lineRule="exact"/>
        <w:rPr>
          <w:rFonts w:ascii="Times New Roman" w:cs="Times New Roman" w:eastAsia="Times New Roman" w:hAnsi="Times New Roman"/>
          <w:sz w:val="18"/>
          <w:szCs w:val="18"/>
          <w:color w:val="auto"/>
        </w:rPr>
      </w:pPr>
    </w:p>
    <w:p>
      <w:pPr>
        <w:ind w:firstLine="639"/>
        <w:spacing w:after="0" w:line="282" w:lineRule="auto"/>
        <w:tabs>
          <w:tab w:leader="none" w:pos="91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application of sums paid by any Borrower, any Guarantor or any other Person with respect to the liabilities of any Borrower to the Guarantied Parties, regardless of what liabilities of any Borrower remain unpaid;</w:t>
      </w:r>
    </w:p>
    <w:p>
      <w:pPr>
        <w:spacing w:after="0" w:line="161" w:lineRule="exact"/>
        <w:rPr>
          <w:rFonts w:ascii="Times New Roman" w:cs="Times New Roman" w:eastAsia="Times New Roman" w:hAnsi="Times New Roman"/>
          <w:sz w:val="18"/>
          <w:szCs w:val="18"/>
          <w:color w:val="auto"/>
        </w:rPr>
      </w:pPr>
    </w:p>
    <w:p>
      <w:pPr>
        <w:ind w:firstLine="639"/>
        <w:spacing w:after="0" w:line="261" w:lineRule="auto"/>
        <w:tabs>
          <w:tab w:leader="none" w:pos="87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capacity or authority of any Borrower or any Loan Party relating to the FBG DIP Obligations or any defect, limitation or insufficiency in the borrowing powers of any Borrower or in the exercise thereof;</w:t>
      </w:r>
    </w:p>
    <w:p>
      <w:pPr>
        <w:jc w:val="both"/>
        <w:ind w:firstLine="639"/>
        <w:spacing w:after="0" w:line="255" w:lineRule="auto"/>
        <w:tabs>
          <w:tab w:leader="none" w:pos="85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set off, claim or counterclaim (other than indefeasible payment and performance in full) which may at any time be available to or be asserted by any Borrower, any other FBG DIP Loan party or any other Person against the DIP Agent, any FBG DIP Lender or any other FBG Secured Party;</w:t>
      </w:r>
    </w:p>
    <w:p>
      <w:pPr>
        <w:spacing w:after="0" w:line="185" w:lineRule="exact"/>
        <w:rPr>
          <w:rFonts w:ascii="Times New Roman" w:cs="Times New Roman" w:eastAsia="Times New Roman" w:hAnsi="Times New Roman"/>
          <w:sz w:val="18"/>
          <w:szCs w:val="18"/>
          <w:color w:val="auto"/>
        </w:rPr>
      </w:pPr>
    </w:p>
    <w:p>
      <w:pPr>
        <w:ind w:left="900" w:hanging="261"/>
        <w:spacing w:after="0"/>
        <w:tabs>
          <w:tab w:leader="none" w:pos="9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corporate existence, structure or ownership of any Borrower or any other FBG DIP Loan Party;</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661" w:right="339" w:bottom="1440" w:gutter="0" w:footer="0" w:header="0"/>
        </w:sectPr>
      </w:pPr>
    </w:p>
    <w:bookmarkStart w:id="142" w:name="page143"/>
    <w:bookmarkEnd w:id="142"/>
    <w:p>
      <w:pPr>
        <w:jc w:val="both"/>
        <w:ind w:left="340" w:firstLine="640"/>
        <w:spacing w:after="0" w:line="266" w:lineRule="auto"/>
        <w:tabs>
          <w:tab w:leader="none" w:pos="119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representation or warranty made or deemed made by or on behalf of any Borrower, any FBG DIP Guarantor or any other FBG DIP Loan Party under any DIP Loan Document, or any amendment hereto or thereto, proves to have been incorrect or misleading in any respect; or</w:t>
      </w:r>
    </w:p>
    <w:p>
      <w:pPr>
        <w:spacing w:after="0" w:line="175" w:lineRule="exact"/>
        <w:rPr>
          <w:rFonts w:ascii="Times New Roman" w:cs="Times New Roman" w:eastAsia="Times New Roman" w:hAnsi="Times New Roman"/>
          <w:sz w:val="18"/>
          <w:szCs w:val="18"/>
          <w:color w:val="auto"/>
        </w:rPr>
      </w:pPr>
    </w:p>
    <w:p>
      <w:pPr>
        <w:ind w:left="340" w:firstLine="639"/>
        <w:spacing w:after="0" w:line="282" w:lineRule="auto"/>
        <w:tabs>
          <w:tab w:leader="none" w:pos="1302"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which might otherwise constitute a defense available to, or a discharge of, a Guarantor hereunder (other than indefeasible payment and performance of the FBG DIP Obligations in full).</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Action with Respect to Guarantied Obligations</w:t>
      </w:r>
      <w:r>
        <w:rPr>
          <w:rFonts w:ascii="Times New Roman" w:cs="Times New Roman" w:eastAsia="Times New Roman" w:hAnsi="Times New Roman"/>
          <w:sz w:val="18"/>
          <w:szCs w:val="18"/>
          <w:color w:val="auto"/>
        </w:rPr>
        <w:t>. Subject to the DIP Order, the Guarantied Parties may, at any time and from time to time, without the consent of, or notice to, any Guarantor, and without discharging any Guarantor from its obligations hereunder, take any and all actions described in Section 3 and may otherwise, subject to the terms of the Loan Documents: (a) amend, modify, alter or supplement the terms of any of the Guarantied Obligations, including, but not limited to, extending or shortening the time of payment of any of the Guarantied Obligations or changing the interest rate that may accrue on any of the Guarantied Obligations; (b) amend, modify, alter or supplement the Credit Agreement or any other DIP Loan Document; (c) sell, exchange, release or otherwise deal with all, or any part, of any collateral securing any of the Guarantied Obligations; (d) release any FBG DIP Loan Party or other Person liable in any manner for the payment or collection of the Guarantied Obligations; (e) exercise, or refrain from exercising, any rights against any Borrower, any other FBG DIP Loan Party or any other Person; and (f) apply any sum, by whomsoever paid or however realized, to the Guarantied Obligations in such order as the Guarantied Parties shall elect.</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Guarantor hereby makes to the DIP Agent and the other Guarantied Parties all of the representations and warranties made by each Borrower with respect to or in any way relating to such Guarantor in the Credit Agreement and the other DIP Loan Documents, as if the same were set forth herein in full.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Each Guarantor shall comply with all covenants and obligations that the Credit Agreement or any other DIP Loan Document requires any Borrower to cause such Guarantor to comply with under the terms of the Credit Agreement or any of the other Loan Documents, as if the same were set forth herein in full.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Each Guarantor, to the fullest extent permitted by any applicable laws, hereby waives notice of acceptance hereof or any presentment, demand, protest or notice of any kind, and any other act or thing, or omission or delay to do any other act or thing, which in any manner or to any extent might vary the risk of such Guarantor or which otherwise might operate to discharge such Guarantor from its obligations hereunder. To the extent not referred to above, each Guarantor hereby waives any and all defenses which any Borrower may now or hereafter have to the performance of the FBG DIP Obligations, together with any and all suretyship defenses, which could otherwise be asserted by such Guarantor.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Inability to Accelerate Loan</w:t>
      </w:r>
      <w:r>
        <w:rPr>
          <w:rFonts w:ascii="Times New Roman" w:cs="Times New Roman" w:eastAsia="Times New Roman" w:hAnsi="Times New Roman"/>
          <w:sz w:val="18"/>
          <w:szCs w:val="18"/>
          <w:color w:val="auto"/>
        </w:rPr>
        <w:t>. If the Guarantied Parties or any of them are prevented under applicable laws or otherwise from demanding or accelerating payment of any of the Guarantied Obligations by reason of any automatic stay or otherwise, subject to the DIP Order, the DIP Agent (acting at the written direction of the Required FBG Lenders) and/or the other Guarantied Parties shall be entitled to receive from each Guarantor, upon demand therefor, the sums which otherwise would have been due had such demand or acceleration occurred.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3" w:name="page144"/>
    <w:bookmarkEnd w:id="143"/>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Reinstatement of Guarantied Obligations</w:t>
      </w:r>
      <w:r>
        <w:rPr>
          <w:rFonts w:ascii="Times New Roman" w:cs="Times New Roman" w:eastAsia="Times New Roman" w:hAnsi="Times New Roman"/>
          <w:sz w:val="18"/>
          <w:szCs w:val="18"/>
          <w:color w:val="auto"/>
        </w:rPr>
        <w:t>. If a claim is ever made on the DIP Agent or any other Guarantied Party for repayment or recovery of any amount or amounts received in payment or on account of any of the Guarantied Obligations, and the DIP Agent or such other Guarantied Party repays all or part of said amount by reason of (a) any judgment, decree or order of any court or administrative body of competent jurisdiction, or (b) any settlement or compromise of any such claim effected by the DIP Agent or such other Guarantied Party with any such claimant (including any Borrower or a trustee in bankruptcy for any Borrower), then and in such event each Guarantor agrees that any such judgment, decree, order, settlement or compromise shall be binding on it, notwithstanding any revocation hereof or the cancellation of the Credit Agreement, any of the other DIP Loan Documents, or any other instrument evidencing any liability of any Borrower, and such Guarantor shall be and remain liable to the DIP Agent or such other Guarantied Party for the amounts so repaid or recovered to the same extent as if such amount had never originally been paid to the DIP Agent or such other Guarantied Party.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Upon the making by any Guarantor of any payment hereunder for the account of any Borrower, such Guarantor shall be subrogated to the rights of the payee against such Borrower; provided, however, that such Guarantor shall not enforce any right or receive any payment by way of subrogation or otherwise take any action in respect of any other claim or cause of action such Guarantor may have against such Borrower arising by reason of any payment or performance by such Guarantor pursuant to this Guaranty, unless and until all of the Guarantied Obligations have been indefeasibly paid and performed in full. If any amount shall be paid to such Guarantor on account of or in respect of such subrogation rights or other claims or causes of action, such Guarantor shall hold such amount in trust for the benefit of the Guarantied Parties and shall forthwith pay such amount to the DIP Agent to be credited and applied against the Guarantied Obligations, whether matured or unmatured, in accordance with the terms of the Credit Agreement or to be held by the DIP Agent as collateral security for any Guarantied Obligations existing.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Payments Free and Clear</w:t>
      </w:r>
      <w:r>
        <w:rPr>
          <w:rFonts w:ascii="Times New Roman" w:cs="Times New Roman" w:eastAsia="Times New Roman" w:hAnsi="Times New Roman"/>
          <w:sz w:val="18"/>
          <w:szCs w:val="18"/>
          <w:color w:val="auto"/>
        </w:rPr>
        <w:t>. All sums payable by each Guarantor hereunder, whether of principal, interest, fees, expenses, premiums or otherwise, shall be paid in full, without set-off or counterclaim or any deduction or withholding whatsoever (including any Taxes), and if such Guarantor is required by applicable laws or by any Governmental Authority to make any such deduction or withholding such Guarantor shall pay to the DIP Agent and the FBG DIP Lenders such additional amount as will result in the receipt by the DIP Agent and the FBP DIP Lenders of the full amount payable hereunder had such deduction or withholding not occurred or been required.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In addition to any rights now or hereafter granted under any of the other DIP Loan Documents or applicable laws and not by way of limitation of any such rights, but subject to the terms of the Credit Agreement and the DIP Order, each Guarantor hereby authorizes each Guarantied Party, at any time while an Event of Default exists and is continuing, without any prior notice to such Guarantor or to any other Person, any such notice being hereby expressly waived, but in the case of an FBG DIP Lender subject to receipt of the prior written consent of the Required FBG Lenders, to set-off and to appropriate and to apply any and all deposits (general or special, including, but not limited to, indebtedness evidenced by certificates of deposit, whether matured or unmatured) and any other indebtedness at any time held or owing by such Guarantied Party or any affiliate of such Guarantied Party to or for the credit or the account of such Guarantor against and on account of any of the Guarantied Obligations that are then due and owing.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4" w:name="page145"/>
    <w:bookmarkEnd w:id="144"/>
    <w:p>
      <w:pPr>
        <w:jc w:val="both"/>
        <w:spacing w:after="0" w:line="261" w:lineRule="auto"/>
        <w:rPr>
          <w:sz w:val="20"/>
          <w:szCs w:val="20"/>
          <w:color w:val="auto"/>
        </w:rPr>
      </w:pPr>
      <w:r>
        <w:rPr>
          <w:rFonts w:ascii="Times New Roman" w:cs="Times New Roman" w:eastAsia="Times New Roman" w:hAnsi="Times New Roman"/>
          <w:sz w:val="18"/>
          <w:szCs w:val="18"/>
          <w:color w:val="auto"/>
        </w:rPr>
        <w:t>Following termination of this Guaranty pursuant to Section 20, subject to Section 9, such Guarantor shall be entitled to receive contribution and indemnification payments from, and be reimbursed by, each other Guarantor for any amounts paid by such Guarantor under this Guaranty in excess of such Guarantor’s proportionate share of the Guarantied Obligations, calculated based upon the relative fair values of each Guarantor’s assets at the time such payment was made.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Subordination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Guarantor hereby expressly covenants and agrees for the benefit of the Guarantied Parties that all rights of indemnity, contribution or subrogation of any Guarantor against any Borrower, whether under this Guaranty, any applicable laws or otherwise (collectively, the “</w:t>
      </w:r>
      <w:r>
        <w:rPr>
          <w:rFonts w:ascii="Times New Roman" w:cs="Times New Roman" w:eastAsia="Times New Roman" w:hAnsi="Times New Roman"/>
          <w:sz w:val="18"/>
          <w:szCs w:val="18"/>
          <w:u w:val="single" w:color="auto"/>
          <w:color w:val="auto"/>
        </w:rPr>
        <w:t>Junior Claims</w:t>
      </w:r>
      <w:r>
        <w:rPr>
          <w:rFonts w:ascii="Times New Roman" w:cs="Times New Roman" w:eastAsia="Times New Roman" w:hAnsi="Times New Roman"/>
          <w:sz w:val="18"/>
          <w:szCs w:val="18"/>
          <w:color w:val="auto"/>
        </w:rPr>
        <w:t>”), shall be subordinate and junior in right of payment to all Guarantied Obligations. If an Event of Default shall exist, then no Guarantor shall accept any direct or indirect payment (in cash, property or securities, by setoff or otherwise) from any Borrower on account of or in any manner in respect of any Junior Claim until all of the Guarantied Obligations have been indefeasibly paid in full.</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Avoidance Provisions</w:t>
      </w:r>
      <w:r>
        <w:rPr>
          <w:rFonts w:ascii="Times New Roman" w:cs="Times New Roman" w:eastAsia="Times New Roman" w:hAnsi="Times New Roman"/>
          <w:sz w:val="18"/>
          <w:szCs w:val="18"/>
          <w:color w:val="auto"/>
        </w:rPr>
        <w:t>. It is the intent of each Guarantor, the DIP Agent and the other Guarantied Parties that in any Proceeding (as defined in Section 31), subject to the DIP Order, such Guarantor’s maximum obligation hereunder shall equal, but not exceed, the maximum amount which would not otherwise cause the obligations of such Guarantor hereunder (or any other obligations of such Guarantor to the Guarantied Parties) to be avoidable or unenforceable against such Guarantor in such Proceeding as a result of applicable laws, including without limitation, (a) Section 548 of the Bankruptcy Code of 1978, as amended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and (b) any voidable transactions act, fraudulent transfer act, fraudulent conveyance act or similar law to the extent applicable to this Guaranty or other statute applied in such Proceeding, whether by virtue of Section 544 of the Bankruptcy Code or otherwise. Subject to the DIP Order, any applicable laws under which the possible avoidance or unenforceability of the obligations of such Guarantor hereunder (or any other obligations of such Guarantor to the Guarantied Parties) as determined in any such Proceeding are referred to as the “</w:t>
      </w:r>
      <w:r>
        <w:rPr>
          <w:rFonts w:ascii="Times New Roman" w:cs="Times New Roman" w:eastAsia="Times New Roman" w:hAnsi="Times New Roman"/>
          <w:sz w:val="18"/>
          <w:szCs w:val="18"/>
          <w:u w:val="single" w:color="auto"/>
          <w:color w:val="auto"/>
        </w:rPr>
        <w:t>Avoidance Provisions</w:t>
      </w:r>
      <w:r>
        <w:rPr>
          <w:rFonts w:ascii="Times New Roman" w:cs="Times New Roman" w:eastAsia="Times New Roman" w:hAnsi="Times New Roman"/>
          <w:sz w:val="18"/>
          <w:szCs w:val="18"/>
          <w:color w:val="auto"/>
        </w:rPr>
        <w:t>”). Accordingly, to the extent that the obligations of any Guarantor hereunder would otherwise be subject to avoidance under the Avoidance Provisions, the maximum Guarantied Obligations for which such Guarantor shall be liable hereunder shall be reduced to that amount which, as of the time any of the Guarantied Obligations are deemed to have been incurred under the Avoidance Provisions, would not cause the obligations of such Guarantor hereunder (or any other obligations of such Guarantor to the Guarantied Parties), to be subject to avoidance under the Avoidance Provisions. This Section is intended solely to preserve the rights of the DIP Agent and the other Guarantied Parties hereunder to the maximum extent that would not cause the obligations of any Guarantor hereunder to be subject to avoidance under the Avoidance Provisions, and no Guarantor or any other Person shall have any right or claim under this Section as against the Guarantied Parties that would not otherwise be available to such Person under the Avoidance Provisions.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5" w:name="page146"/>
    <w:bookmarkEnd w:id="145"/>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Guarantor assumes all responsibility for being and keeping itself informed of the financial condition of each Borrower and the other FBG DIP Loan Parties, and of all other circumstances bearing upon the risk of nonpayment of any of the Guarantied Obligations and the nature, scope and extent of the risks that such Guarantor assumes and incurs hereunder, and agrees that neither the DIP Agent nor any other Guarantied Party shall have any duty whatsoever to advise any Guarantor of information regarding such circumstances or risks.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GUARANTY SHALL BE GOVERNED BY, AND CONSTRUED AND ENFORCED IN ACCORDANCE WITH, THE LAWS OF THE STATE OF NEW YORK APPLICABLE TO CONTRACTS EXECUTED, AND TO BE FULLY PERFORMED, IN SUCH STATE, AND, TO THE EXTENT APPLICABLE, THE BANKRUPTCY CODE.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40" w:firstLine="640"/>
        <w:spacing w:after="0" w:line="255" w:lineRule="auto"/>
        <w:tabs>
          <w:tab w:leader="none" w:pos="125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AND EACH OF THE DIP AGENT AND THE OTHER GUARANTIED PARTIES BY ACCEPTING THE BENEFITS HEREOF, ACKNOWLEDGES THAT ANY DISPUTE OR CONTROVERSY BETWEEN SUCH GUARANTOR, THE DIP AGENT OR ANY OF THE OTHER GUARANTIED PARTIES WOULD BE BASED ON DIFFICULT AND COMPLEX ISSUES OF LAW AND FACT AND WOULD RESULT IN DELAY AND EXPENSE TO THE PARTIES. ACCORDINGLY, TO THE EXTENT PERMITTED BY APPLICABLE LAWS, EACH OF THE GUARANTORS, THE DIP AGENT AND THE OTHER GUARANTIED PARTIES HEREBY WAIVES ITS RIGHT TO A TRIAL BY JURY IN ANY ACTION OR PROCEEDING OF ANY KIND OR NATURE IN ANY COURT OR TRIBUNAL IN WHICH AN ACTION MAY BE COMMENCED BY OR AGAINST ANY PARTY HERETO ARISING OUT OF THIS GUARANTY.</w:t>
      </w:r>
    </w:p>
    <w:p>
      <w:pPr>
        <w:spacing w:after="0" w:line="188" w:lineRule="exact"/>
        <w:rPr>
          <w:rFonts w:ascii="Times New Roman" w:cs="Times New Roman" w:eastAsia="Times New Roman" w:hAnsi="Times New Roman"/>
          <w:sz w:val="18"/>
          <w:szCs w:val="18"/>
          <w:color w:val="auto"/>
        </w:rPr>
      </w:pPr>
    </w:p>
    <w:p>
      <w:pPr>
        <w:jc w:val="both"/>
        <w:ind w:left="340" w:firstLine="640"/>
        <w:spacing w:after="0" w:line="253" w:lineRule="auto"/>
        <w:tabs>
          <w:tab w:leader="none" w:pos="126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AND EACH OF THE DIP AGENT AND THE OTHER GUARANTIED PARTIES BY ACCEPTING THE BENEFITS HEREOF, HEREBY AGREES THAT THE BANKRUPTCY COURT, OR IF THE BANKRUPTCY COURT DOES NOT HAVE, OR ABSTAINS FROM JURISDICTION, ANY FEDERAL DISTRICT COURT LOCATED IN THE SOUTHERN DISTRICT OF NEW YORK AND ANY STATE COURT LOCATED IN NEW YORK, NEW YORK SHALL HAVE JURISDICTION TO HEAR AND DETERMINE ANY CLAIMS OR DISPUTES BETWEEN OR AMONG THE GUARANTORS, THE DIP AGENT OR ANY OF THE OTHER GUARANTIED PARTIES, PERTAINING DIRECTLY OR INDIRECTLY TO THIS GUARANTY. EACH GUARANTOR AND EACH OF THE DIP AGENT AND THE OTHER GUARANTIED PARTIES EXPRESSLY SUBMITS AND CONSENTS IN ADVANCE TO SUCH JURISDICTION IN ANY ACTION OR PROCEEDING COMMENCED IN SUCH COURTS.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ACTION BY THE DIP AGENT OR ANY OTHER GUARANTIED PARTY OR THE ENFORCEMENT BY THE DIP AGENT OR ANY OTHER GUARANTIED PARTY OF ANY JUDGMENT OBTAINED IN SUCH FORUM IN ANY OTHER APPROPRIATE JURISDICTION.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6" w:name="page147"/>
    <w:bookmarkEnd w:id="146"/>
    <w:p>
      <w:pPr>
        <w:jc w:val="both"/>
        <w:ind w:left="340" w:firstLine="639"/>
        <w:spacing w:after="0" w:line="261" w:lineRule="auto"/>
        <w:tabs>
          <w:tab w:leader="none" w:pos="122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GUARANTY.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Waiver of Remedies</w:t>
      </w:r>
      <w:r>
        <w:rPr>
          <w:rFonts w:ascii="Times New Roman" w:cs="Times New Roman" w:eastAsia="Times New Roman" w:hAnsi="Times New Roman"/>
          <w:sz w:val="18"/>
          <w:szCs w:val="18"/>
          <w:color w:val="auto"/>
        </w:rPr>
        <w:t>. No delay or failure on the part of the DIP Agent or any other Guarantied Party in the exercise of any right or remedy it may have against any Guarantor hereunder or otherwise shall operate as a waiver thereof, and no single or partial exercise by the DIP Agent or any other Guarantied Party of any such right or remedy shall preclude any other or further exercise thereof or the exercise of any other such right or remedy.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Subject to reinstatement of this Guaranty pursuant to Section 9, this Guaranty shall remain in full force and effect with respect to each Guarantor until indefeasible payment in full of the Guarantied Obligations and the other FBG DIP Obligations (other than contingent obligations for which no claim has been asserted) and the termination or cancellation of the Credit Agreement in accordance with its terms. Upon release of any Guarantor in accordance with Section 8(e)(ii)(H) of the Credit Agreement, such Guarantor shall be automatically released from its obligations as a “Guarantor” hereunder.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herein, each Guarantor shall be automatically released from its obligations hereunder upon the consummation of any sale, transfer, or other disposition of all of the Equity Interests in such Guarantor permitted pursuant to the Credit Agreement and expressly authorized by a final order of the Bankruptcy Court to a Person that is not a FBG DIP Loan Party. Upon request of any Guarantor following such release, the DIP Agent (acting at the written direction of the Required FBG Lenders) shall promptly execute and deliver to such Guarantor, at such Guarantor’s expense, all documents reasonably requested by such Guarantor to evidence such release. Any execution and delivery of documents pursuant to this Section shall be without recourse to or warranty by the DIP Agent.</w:t>
      </w:r>
    </w:p>
    <w:p>
      <w:pPr>
        <w:spacing w:after="0" w:line="187"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Each reference herein to the DIP Agent or any other Guarantied Party shall be deemed to include such Person’s respective successors and assigns (including, but not limited to, any holder of the Guarantied Obligations) in whose favor the provisions of this Guaranty also shall inure, and each reference herein to each Guarantor shall be deemed to include such Guarantor’s successors and assigns, upon whom this Guaranty also shall be binding. Subject to the DIP Order, the Guarantied Parties may, in accordance with the applicable provisions of the Credit Agreement, assign, transfer or sell any Guarantied Obligation, or grant or sell participations in any Guarantied Obligations, to any Person without the consent of, or notice to, any Guarantor and without releasing, discharging or modifying any Guarantor’s obligations hereunder. Each Guarantor hereby consents to the delivery by the DIP Agent or any other Guarantied Party to any assignee or participant of any financial or other information regarding the Borrower or any Guarantor. No Guarantor may assign or transfer its rights or obligations hereunder to any Person without the prior written consent of all DIP Lenders and any such assignment or other transfer to which all of the DIP Lenders have not so consented shall be null and void.</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7" w:name="page148"/>
    <w:bookmarkEnd w:id="147"/>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JOINT AND SEVERAL OBLIGATIONS</w:t>
      </w:r>
      <w:r>
        <w:rPr>
          <w:rFonts w:ascii="Times New Roman" w:cs="Times New Roman" w:eastAsia="Times New Roman" w:hAnsi="Times New Roman"/>
          <w:sz w:val="18"/>
          <w:szCs w:val="18"/>
          <w:color w:val="auto"/>
        </w:rPr>
        <w:t>. THE OBLIGATIONS OF THE GUARANTORS HEREUNDER SHALL BE JOINT AND SEVERAL, AND, ACCORDINGLY, EACH GUARANTOR CONFIRMS THAT IT IS LIABLE FOR THE FULL AMOUNT OF THE “GUARANTIED OBLIGATIONS” AND ALL OF THE OBLIGATIONS AND LIABILITIES OF EACH OF THE OTHER GUARANTORS HEREUNDER.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Guaranty may not be amended except in writing signed by the DIP Agent (acting at the written direction of the Required FBG Lenders) and each Guarantor, subject to Section 8(e) of the Credit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payments to be made by any Guarantor pursuant to this Guaranty shall be made in Dollars, in immediately available funds to the DIP Agent’s account designated for such purpose, not later than 12:00 p.m. Eastern time, on the date one Business Day after demand therefor.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Except as otherwise permitted pursuant to Section 8(o) of the Credit Agreement, all notices, requests and other communications hereunder shall be in writing (including facsimile transmission or similar writing) and shall be given (a) to each Guarantor at its address set forth below its signature hereto, (b) to the DIP Agent or any other Guarantied Party at its address for notices provided for in the Credit Agreement, or (c) as to each such party at such other address as such party shall designate in a written notice to the other parties. Each such notice, request or other communication shall be effective (i) if mailed, when received; (ii) if telecopied, when transmitted; (iii) if hand delivered, when delivered; or (iv) if delivered in accordance with Section 8(o) of the Credit Agreement, to the extent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notice of a change of address for notices shall not be effective until received.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of this Guaranty shall be invalid, illegal or unenforceable in any jurisdiction, the validity, legality and enforceability of the remaining provisions shall not in any way be affected or impaired thereby.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used in this Guaranty are for convenience only and shall not affect the construction of this Guaranty.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Trustees, Etc</w:t>
      </w:r>
      <w:r>
        <w:rPr>
          <w:rFonts w:ascii="Times New Roman" w:cs="Times New Roman" w:eastAsia="Times New Roman" w:hAnsi="Times New Roman"/>
          <w:sz w:val="18"/>
          <w:szCs w:val="18"/>
          <w:color w:val="auto"/>
        </w:rPr>
        <w:t>. Not Liable.</w:t>
      </w:r>
    </w:p>
    <w:p>
      <w:pPr>
        <w:spacing w:after="0" w:line="225"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color w:val="auto"/>
        </w:rPr>
        <w:t>IN THE CASE OF ANY GUARANTOR THAT IS A TRUST, NO TRUSTEE, OFFICER, SHAREHOLDER, EMPLOYEE OR AGENT OF SUCH GUARANTOR SHALL BE HELD TO ANY PERSONAL LIABILITY, JOINTLY OR SEVERALLY, FOR ANY OBLIGATION OF, OR CLAIM AGAINST, SUCH GUARANTOR. ALL PERSONS DEALING WITH SUCH GUARANTOR, IN ANY WAY, SHALL LOOK ONLY TO THE ASSETS OF SUCH GUARANTOR FOR THE PAYMENT OF ANY SUM OR THE PERFORMANCE OF ANY OBLIGATION OWING BY SUCH GUARANTOR HEREUNDER. THE PROVISIONS OF THIS SECTION SHALL NOT LIMIT ANY OBLIGATIONS OF ANY FBG DIP LOAN PARTY.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Limitation of Liability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the DIP Agent nor any other Guarantied Party, nor any affiliate, officer, director, employee, attorney, or agent of the DIP Agent or any other Guarantied Party, shall have any liability with respect to, and each Guarantor hereby waives, releases, and agrees not to sue any of them upon, any claim for any special, indirect, incidental, or consequential damages suffered or incurred by a Guarantor in connection with, arising out of, or in any way related to, this Guaranty or any of the other DIP Loan Documents, or any of the transactions contemplated by this Guaranty, the Credit Agreement or any of the other DIP Loan Documents. Each Guarantor hereby waives, releases, and agrees not to sue the DIP Agent or any other Guarantied Party or any of the DIP Agent’s or any other Guarantied Party’s affiliates, officers, directors, employees, attorneys, or agents for punitive damages in respect of any claim in connection with, arising out of, or in any way related to, this Guaranty, the Credit Agreement or any of the other DIP Loan Documents, or any of the transactions contemplated by thereby.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30. </w:t>
      </w:r>
      <w:r>
        <w:rPr>
          <w:rFonts w:ascii="Times New Roman" w:cs="Times New Roman" w:eastAsia="Times New Roman" w:hAnsi="Times New Roman"/>
          <w:sz w:val="18"/>
          <w:szCs w:val="18"/>
          <w:u w:val="single" w:color="auto"/>
          <w:color w:val="auto"/>
        </w:rPr>
        <w:t>Electronic Delivery of Certain Information</w:t>
      </w:r>
      <w:r>
        <w:rPr>
          <w:rFonts w:ascii="Times New Roman" w:cs="Times New Roman" w:eastAsia="Times New Roman" w:hAnsi="Times New Roman"/>
          <w:sz w:val="18"/>
          <w:szCs w:val="18"/>
          <w:color w:val="auto"/>
        </w:rPr>
        <w:t>. Each Guarantor acknowledges and agrees that information regarding the Guarantor may be delivered electronically pursuant to Section 8(o) of the Credit Agreement.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DIP Order</w:t>
      </w:r>
      <w:r>
        <w:rPr>
          <w:rFonts w:ascii="Times New Roman" w:cs="Times New Roman" w:eastAsia="Times New Roman" w:hAnsi="Times New Roman"/>
          <w:sz w:val="18"/>
          <w:szCs w:val="18"/>
          <w:color w:val="auto"/>
        </w:rPr>
        <w:t>. Notwithstanding anything to the contrary contained in this Guaranty the rights granted pursuant to this Guaranty or any other DIP Loan Document shall be as set forth in, and subject to the terms and conditions of (and the exercise of any right or remedy by the DIP Agent (acting at the written direction of the Required FBG Lenders) hereunder or thereunder shall be subject to the terms and conditions of), the DIP Order. In the event of any conflict between this Guaranty or any other DIP Loan Document and the DIP Order, the DIP Order shall control, and no right, power, or remedy granted to the DIP Agent hereunder or under any other DIP Loan Document shall be exercised by the DIP Agent, no direction shall be given by the Required FBG Lenders to the DIP Agent in contravention of the DIP Order, and the Guarantors shall not be required to undertake any obligation, make any agreement or take any action that is prohibited by the terms of the DIP Order.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 For the purposes of this Guaranty:</w:t>
      </w:r>
    </w:p>
    <w:p>
      <w:pPr>
        <w:spacing w:after="0" w:line="225" w:lineRule="exact"/>
        <w:rPr>
          <w:sz w:val="20"/>
          <w:szCs w:val="20"/>
          <w:color w:val="auto"/>
        </w:rPr>
      </w:pPr>
    </w:p>
    <w:p>
      <w:pPr>
        <w:jc w:val="both"/>
        <w:ind w:left="58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of the following: (i) a voluntary or involuntary case concerning any Guarantor shall be commenced under the Bankruptcy Code of 1978, as amended; (ii) a custodian (as defined in such Bankruptcy Code or any other applicable bankruptcy laws) is appointed for, or takes charge of, all or any substantial part of the property of any Guarantor; (iii) any other proceeding under any applicable laws, domestic or foreign, relating to bankruptcy, insolvency, reorganization, winding-up or composition for adjustment of debts, whether now or hereafter in effect, is commenced relating to any Guarantor; (iv) any other suit or other proceeding under any applicable laws, domestic or foreign, involving an Avoidance Provision is commenced relating to any Guarantor; (v) any Guarantor is determined or adjudicated to be insolvent or bankrupt; (vi) any order of relief or other order approving any such case or proceeding is entered by a court of competent jurisdiction; (vii) any Guarantor makes a general assignment for the benefit of creditors; (viii) any Guarantor shall fail to pay, or shall state that it is unable to pay, or shall be unable to pay, its debts generally as they become due; (ix) any Guarantor shall call a meeting of its creditors with a view to arranging a composition or adjustment of its debts; (x) any Guarantor shall by any act or failure to act indicate its consent to, approval of or acquiescence in any of the foregoing; or (xi) any corporate action shall be taken by any Guarantor for the purpose of effecting any of the foregoing.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DIP Agent</w:t>
      </w:r>
      <w:r>
        <w:rPr>
          <w:rFonts w:ascii="Times New Roman" w:cs="Times New Roman" w:eastAsia="Times New Roman" w:hAnsi="Times New Roman"/>
          <w:sz w:val="18"/>
          <w:szCs w:val="18"/>
          <w:color w:val="auto"/>
        </w:rPr>
        <w:t>. The DIP Agent is entering into this Guaranty solely in its capacity as DIP Agent under the Credit Agreement. All rights, privileges, protections and immunities (including, without limitation, the right to indemnification) in favor of the DIP Agent under the Order, the Credit Agreement and the other DIP Loan Documents shall be applicable to the DIP Agent under this Guaranty. It is understood that any reference to the DIP Agent taking any action, making any determinations, requests, directions, consents or elections, deeming any action or document reasonable, appropriate or satisfactory, exercising discretion, or exercising any rights or duties under this Guaranty shall be pursuant to written direction from the Required FBG Lenders.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color w:val="auto"/>
        </w:rPr>
        <w:t>IN WITNESS WHEREOF, each Guarantor has duly executed and delivered this Guaranty as of the date and year first written above.</w:t>
      </w:r>
    </w:p>
    <w:p>
      <w:pPr>
        <w:sectPr>
          <w:pgSz w:w="11900" w:h="16838" w:orient="portrait"/>
          <w:cols w:equalWidth="0" w:num="1">
            <w:col w:w="11240"/>
          </w:cols>
          <w:pgMar w:left="320" w:top="661" w:right="339" w:bottom="1440" w:gutter="0" w:footer="0" w:header="0"/>
        </w:sect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60" w:type="dxa"/>
            <w:vAlign w:val="bottom"/>
            <w:gridSpan w:val="2"/>
          </w:tcPr>
          <w:p>
            <w:pPr>
              <w:jc w:val="center"/>
              <w:ind w:right="4980"/>
              <w:spacing w:after="0"/>
              <w:rPr>
                <w:sz w:val="20"/>
                <w:szCs w:val="20"/>
                <w:color w:val="auto"/>
              </w:rPr>
            </w:pPr>
            <w:r>
              <w:rPr>
                <w:rFonts w:ascii="Times New Roman" w:cs="Times New Roman" w:eastAsia="Times New Roman" w:hAnsi="Times New Roman"/>
                <w:sz w:val="18"/>
                <w:szCs w:val="18"/>
                <w:color w:val="auto"/>
                <w:w w:val="99"/>
              </w:rPr>
              <w:t>GUARANTORS:</w:t>
            </w:r>
          </w:p>
        </w:tc>
      </w:tr>
      <w:tr>
        <w:trPr>
          <w:trHeight w:val="20"/>
        </w:trPr>
        <w:tc>
          <w:tcPr>
            <w:tcW w:w="2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r>
      <w:tr>
        <w:trPr>
          <w:trHeight w:val="453"/>
        </w:trPr>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40" w:type="dxa"/>
            <w:vAlign w:val="bottom"/>
            <w:gridSpan w:val="4"/>
          </w:tcPr>
          <w:p>
            <w:pPr>
              <w:jc w:val="center"/>
              <w:ind w:right="3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blocks to be inserted</w:t>
            </w:r>
            <w:r>
              <w:rPr>
                <w:rFonts w:ascii="Times New Roman" w:cs="Times New Roman" w:eastAsia="Times New Roman" w:hAnsi="Times New Roman"/>
                <w:sz w:val="18"/>
                <w:szCs w:val="18"/>
                <w:color w:val="auto"/>
              </w:rPr>
              <w:t>] Address for</w:t>
            </w:r>
          </w:p>
        </w:tc>
      </w:tr>
      <w:tr>
        <w:trPr>
          <w:trHeight w:val="432"/>
        </w:trPr>
        <w:tc>
          <w:tcPr>
            <w:tcW w:w="2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Notices for all Guarantors: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59"/>
        </w:trPr>
        <w:tc>
          <w:tcPr>
            <w:tcW w:w="2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[Address line 1]</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32"/>
        </w:trPr>
        <w:tc>
          <w:tcPr>
            <w:tcW w:w="2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[Address line 2] Attention: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392"/>
        </w:trPr>
        <w:tc>
          <w:tcPr>
            <w:tcW w:w="27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Telecopy Number:</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spacing w:after="0"/>
              <w:rPr>
                <w:sz w:val="24"/>
                <w:szCs w:val="24"/>
                <w:color w:val="auto"/>
              </w:rPr>
            </w:pPr>
          </w:p>
        </w:tc>
        <w:tc>
          <w:tcPr>
            <w:tcW w:w="760" w:type="dxa"/>
            <w:vAlign w:val="bottom"/>
          </w:tcPr>
          <w:p>
            <w:pPr>
              <w:jc w:val="right"/>
              <w:ind w:right="616"/>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196"/>
        </w:trPr>
        <w:tc>
          <w:tcPr>
            <w:tcW w:w="2780" w:type="dxa"/>
            <w:vAlign w:val="bottom"/>
          </w:tcPr>
          <w:p>
            <w:pPr>
              <w:ind w:left="580"/>
              <w:spacing w:after="0" w:line="196" w:lineRule="exact"/>
              <w:rPr>
                <w:sz w:val="20"/>
                <w:szCs w:val="20"/>
                <w:color w:val="auto"/>
              </w:rPr>
            </w:pPr>
            <w:r>
              <w:rPr>
                <w:rFonts w:ascii="Times New Roman" w:cs="Times New Roman" w:eastAsia="Times New Roman" w:hAnsi="Times New Roman"/>
                <w:sz w:val="18"/>
                <w:szCs w:val="18"/>
                <w:color w:val="auto"/>
              </w:rPr>
              <w:t>Telephone Number:</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61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7"/>
                <w:szCs w:val="17"/>
                <w:color w:val="auto"/>
              </w:rPr>
            </w:pPr>
          </w:p>
        </w:tc>
        <w:tc>
          <w:tcPr>
            <w:tcW w:w="5020" w:type="dxa"/>
            <w:vAlign w:val="bottom"/>
          </w:tcPr>
          <w:p>
            <w:pPr>
              <w:spacing w:after="0"/>
              <w:rPr>
                <w:sz w:val="17"/>
                <w:szCs w:val="17"/>
                <w:color w:val="auto"/>
              </w:rPr>
            </w:pPr>
          </w:p>
        </w:tc>
      </w:tr>
      <w:tr>
        <w:trPr>
          <w:trHeight w:val="453"/>
        </w:trPr>
        <w:tc>
          <w:tcPr>
            <w:tcW w:w="2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7020" w:type="dxa"/>
            <w:vAlign w:val="bottom"/>
            <w:gridSpan w:val="3"/>
          </w:tcPr>
          <w:p>
            <w:pPr>
              <w:jc w:val="center"/>
              <w:ind w:right="4200"/>
              <w:spacing w:after="0"/>
              <w:rPr>
                <w:sz w:val="20"/>
                <w:szCs w:val="20"/>
                <w:color w:val="auto"/>
              </w:rPr>
            </w:pPr>
            <w:r>
              <w:rPr>
                <w:rFonts w:ascii="Times New Roman" w:cs="Times New Roman" w:eastAsia="Times New Roman" w:hAnsi="Times New Roman"/>
                <w:sz w:val="18"/>
                <w:szCs w:val="18"/>
                <w:color w:val="auto"/>
                <w:w w:val="99"/>
              </w:rPr>
              <w:t>[Signature Page to FBG Guaranty]</w:t>
            </w:r>
          </w:p>
        </w:tc>
      </w:tr>
      <w:tr>
        <w:trPr>
          <w:trHeight w:val="432"/>
        </w:trPr>
        <w:tc>
          <w:tcPr>
            <w:tcW w:w="2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type w:val="continuous"/>
        </w:sectPr>
      </w:pPr>
    </w:p>
    <w:bookmarkStart w:id="150" w:name="page151"/>
    <w:bookmarkEnd w:id="150"/>
    <w:p>
      <w:pPr>
        <w:jc w:val="center"/>
        <w:ind w:right="4519"/>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7" w:lineRule="exact"/>
        <w:rPr>
          <w:sz w:val="20"/>
          <w:szCs w:val="20"/>
          <w:color w:val="auto"/>
        </w:rPr>
      </w:pPr>
    </w:p>
    <w:p>
      <w:pPr>
        <w:jc w:val="center"/>
        <w:ind w:right="4519"/>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jc w:val="center"/>
        <w:ind w:right="4519"/>
        <w:spacing w:after="0"/>
        <w:rPr>
          <w:sz w:val="20"/>
          <w:szCs w:val="20"/>
          <w:color w:val="auto"/>
        </w:rPr>
      </w:pPr>
      <w:r>
        <w:rPr>
          <w:rFonts w:ascii="Times New Roman" w:cs="Times New Roman" w:eastAsia="Times New Roman" w:hAnsi="Times New Roman"/>
          <w:sz w:val="18"/>
          <w:szCs w:val="18"/>
          <w:color w:val="auto"/>
        </w:rPr>
        <w:t>DIP AGENT</w:t>
      </w: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UMB BANK, N.A., as DIP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33515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8"/>
          <w:szCs w:val="18"/>
          <w:color w:val="auto"/>
        </w:rPr>
        <w:t>[Signature Page to FBG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color w:val="auto"/>
        </w:rPr>
        <w:t>ANNEX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ACCESSION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ACCESSION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executed and delivered by, a (the “</w:t>
      </w:r>
      <w:r>
        <w:rPr>
          <w:rFonts w:ascii="Times New Roman" w:cs="Times New Roman" w:eastAsia="Times New Roman" w:hAnsi="Times New Roman"/>
          <w:sz w:val="18"/>
          <w:szCs w:val="18"/>
          <w:u w:val="single" w:color="auto"/>
          <w:color w:val="auto"/>
        </w:rPr>
        <w:t>New Guarantor</w:t>
      </w:r>
      <w:r>
        <w:rPr>
          <w:rFonts w:ascii="Times New Roman" w:cs="Times New Roman" w:eastAsia="Times New Roman" w:hAnsi="Times New Roman"/>
          <w:sz w:val="18"/>
          <w:szCs w:val="18"/>
          <w:color w:val="auto"/>
        </w:rPr>
        <w:t>”) in favor of UMB BANK, N.A., in its capacity as administrative agent and collateral agent for the FBG DIP Lenders (in such capacities, the “</w:t>
      </w:r>
      <w:r>
        <w:rPr>
          <w:rFonts w:ascii="Times New Roman" w:cs="Times New Roman" w:eastAsia="Times New Roman" w:hAnsi="Times New Roman"/>
          <w:sz w:val="18"/>
          <w:szCs w:val="18"/>
          <w:u w:val="single" w:color="auto"/>
          <w:color w:val="auto"/>
        </w:rPr>
        <w:t>DIP Agent</w:t>
      </w:r>
      <w:r>
        <w:rPr>
          <w:rFonts w:ascii="Times New Roman" w:cs="Times New Roman" w:eastAsia="Times New Roman" w:hAnsi="Times New Roman"/>
          <w:sz w:val="18"/>
          <w:szCs w:val="18"/>
          <w:color w:val="auto"/>
        </w:rPr>
        <w:t>”) under that certain Debtor-in-</w:t>
      </w:r>
    </w:p>
    <w:p>
      <w:pPr>
        <w:jc w:val="both"/>
        <w:spacing w:after="0" w:line="251" w:lineRule="auto"/>
        <w:rPr>
          <w:sz w:val="20"/>
          <w:szCs w:val="20"/>
          <w:color w:val="auto"/>
        </w:rPr>
      </w:pPr>
      <w:r>
        <w:rPr>
          <w:rFonts w:ascii="Times New Roman" w:cs="Times New Roman" w:eastAsia="Times New Roman" w:hAnsi="Times New Roman"/>
          <w:sz w:val="18"/>
          <w:szCs w:val="18"/>
          <w:color w:val="auto"/>
        </w:rPr>
        <w:t>Possession Credit Agreement, dated as of [ ], 2026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by and among ,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FAT BRANDS ROYALTY I, LLC, a Delaware limited liability company and a debtor and debtor-in-possession under Chapter 11 of the Bankruptcy Code (“</w:t>
      </w:r>
      <w:r>
        <w:rPr>
          <w:rFonts w:ascii="Times New Roman" w:cs="Times New Roman" w:eastAsia="Times New Roman" w:hAnsi="Times New Roman"/>
          <w:sz w:val="18"/>
          <w:szCs w:val="18"/>
          <w:u w:val="single" w:color="auto"/>
          <w:color w:val="auto"/>
        </w:rPr>
        <w:t>FB Royalty</w:t>
      </w:r>
      <w:r>
        <w:rPr>
          <w:rFonts w:ascii="Times New Roman" w:cs="Times New Roman" w:eastAsia="Times New Roman" w:hAnsi="Times New Roman"/>
          <w:sz w:val="18"/>
          <w:szCs w:val="18"/>
          <w:color w:val="auto"/>
        </w:rPr>
        <w:t>”), FAT BRANDS FAZOLI’S NATIVE I, LLC, a Delaware limited liability company and a debtor and debtor-in-possession under Chapter 11 of the Bankruptcy Code (“</w:t>
      </w:r>
      <w:r>
        <w:rPr>
          <w:rFonts w:ascii="Times New Roman" w:cs="Times New Roman" w:eastAsia="Times New Roman" w:hAnsi="Times New Roman"/>
          <w:sz w:val="18"/>
          <w:szCs w:val="18"/>
          <w:u w:val="single" w:color="auto"/>
          <w:color w:val="auto"/>
        </w:rPr>
        <w:t>FB Fazoli</w:t>
      </w:r>
      <w:r>
        <w:rPr>
          <w:rFonts w:ascii="Times New Roman" w:cs="Times New Roman" w:eastAsia="Times New Roman" w:hAnsi="Times New Roman"/>
          <w:sz w:val="18"/>
          <w:szCs w:val="18"/>
          <w:color w:val="auto"/>
        </w:rPr>
        <w:t>”), and FAT BRANDS GFG ROYALTY I, LLC, a Delaware limited liability company and a debtor and debtor-in-possession under Chapter 11 of the Bankruptcy Code (“</w:t>
      </w:r>
      <w:r>
        <w:rPr>
          <w:rFonts w:ascii="Times New Roman" w:cs="Times New Roman" w:eastAsia="Times New Roman" w:hAnsi="Times New Roman"/>
          <w:sz w:val="18"/>
          <w:szCs w:val="18"/>
          <w:u w:val="single" w:color="auto"/>
          <w:color w:val="auto"/>
        </w:rPr>
        <w:t>FB GFG</w:t>
      </w:r>
      <w:r>
        <w:rPr>
          <w:rFonts w:ascii="Times New Roman" w:cs="Times New Roman" w:eastAsia="Times New Roman" w:hAnsi="Times New Roman"/>
          <w:sz w:val="18"/>
          <w:szCs w:val="18"/>
          <w:color w:val="auto"/>
        </w:rPr>
        <w:t>”, and together with FB Royalty and FB Fazoli, each a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the FBG DIP Lenders (as defined therein), the DIP Agent, and the other parties thereto, for its benefit and the benefit of the FBG DIP Lenders and the other FBG Secured Parties (the DIP Agent, the FBG DIP Lenders and the other FBG Secured Parties, each individually a “</w:t>
      </w:r>
      <w:r>
        <w:rPr>
          <w:rFonts w:ascii="Times New Roman" w:cs="Times New Roman" w:eastAsia="Times New Roman" w:hAnsi="Times New Roman"/>
          <w:sz w:val="18"/>
          <w:szCs w:val="18"/>
          <w:u w:val="single" w:color="auto"/>
          <w:color w:val="auto"/>
        </w:rPr>
        <w:t>Guarantied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Guarantied Parties</w:t>
      </w:r>
      <w:r>
        <w:rPr>
          <w:rFonts w:ascii="Times New Roman" w:cs="Times New Roman" w:eastAsia="Times New Roman" w:hAnsi="Times New Roman"/>
          <w:sz w:val="18"/>
          <w:szCs w:val="18"/>
          <w:color w:val="auto"/>
        </w:rPr>
        <w:t>”). Capitalized terms used and not otherwise defined herein shall have their respective meanings given to such terms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-1125220</wp:posOffset>
            </wp:positionV>
            <wp:extent cx="48418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841875" cy="8255"/>
                    </a:xfrm>
                    <a:prstGeom prst="rect">
                      <a:avLst/>
                    </a:prstGeom>
                    <a:noFill/>
                  </pic:spPr>
                </pic:pic>
              </a:graphicData>
            </a:graphic>
          </wp:anchor>
        </w:drawing>
      </w:r>
    </w:p>
    <w:p>
      <w:pPr>
        <w:spacing w:after="0" w:line="3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pursuant to the Credit Agreement, the Guarantied Parties have agreed to make available to the Borrowers certain financial accommodations on the terms and conditions set forth in the Credit Agreement and subject to the DIP Order;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WHEREAS, New Guarantor is owned or controlled by one or more Borrowers; WHEREAS, the Borrowers, the New Guarantor and the existing Guarantors of the Borrowers, though separate legal entities, are mutually dependent on each other in the conduct of their respective businesses as an integrated operation and have determined it to be in their mutual best interests to obtain financing from the Guarantied Parties through their collective efforts;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New Guarantor acknowledges that it will receive direct and indirect benefits from the Guarantied Parties making and maintaining such financial accommodations with the Borrowers under the Credit Agreement and, accordingly, New Guarantor is willing to guarantee the Borrowers’ obligations to the Guarantied Parties on the terms and conditions contained herein; 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New Guarantor’s execution and delivery of this Agreement is a condition to the Guarantied Parties continuing to make such financial accommodations to the Borrowers.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by the New Guarantor, the New Guarantor agrees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  Accession  to</w:t>
            </w:r>
          </w:p>
        </w:tc>
        <w:tc>
          <w:tcPr>
            <w:tcW w:w="9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Guaranty.  The  New  Guarantor  hereby  agrees  that  it  is  a  “Guarantor”  under  the  Guaranty,  dated  as  of</w:t>
            </w:r>
          </w:p>
        </w:tc>
      </w:tr>
      <w:tr>
        <w:trPr>
          <w:trHeight w:val="196"/>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c>
          <w:tcPr>
            <w:tcW w:w="3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 2026 (as amended, restated or otherwise modified</w:t>
            </w:r>
          </w:p>
        </w:tc>
      </w:tr>
    </w:tbl>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made by the Guarantors party thereto in favor of the DIP Agent, for its benefit and the benefit of the other Guarantied Parties, and assumes all obligations of a “Guarantor” thereunder, all as if the New Guarantor had been an original signatory to the Guaranty. Without limiting the generality of the foregoing, the New Guarantor hereby:</w:t>
      </w:r>
    </w:p>
    <w:p>
      <w:pPr>
        <w:spacing w:after="0" w:line="176" w:lineRule="exact"/>
        <w:rPr>
          <w:sz w:val="20"/>
          <w:szCs w:val="20"/>
          <w:color w:val="auto"/>
        </w:rPr>
      </w:pPr>
    </w:p>
    <w:p>
      <w:pPr>
        <w:ind w:left="1420" w:hanging="440"/>
        <w:spacing w:after="0" w:line="282" w:lineRule="auto"/>
        <w:tabs>
          <w:tab w:leader="none" w:pos="14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absolutely, irrevocably and unconditionally guarantees the due and punctual payment and performance when due, whether at stated maturity, by acceleration or otherwise, of all Guarantied Obligations (as defined in the Guaranty);</w:t>
      </w:r>
    </w:p>
    <w:p>
      <w:pPr>
        <w:spacing w:after="0" w:line="161" w:lineRule="exact"/>
        <w:rPr>
          <w:rFonts w:ascii="Times New Roman" w:cs="Times New Roman" w:eastAsia="Times New Roman" w:hAnsi="Times New Roman"/>
          <w:sz w:val="18"/>
          <w:szCs w:val="18"/>
          <w:color w:val="auto"/>
        </w:rPr>
      </w:pPr>
    </w:p>
    <w:p>
      <w:pPr>
        <w:ind w:left="1420" w:hanging="440"/>
        <w:spacing w:after="0" w:line="282" w:lineRule="auto"/>
        <w:tabs>
          <w:tab w:leader="none" w:pos="14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to the DIP Agent and the other Guarantied Parties as of the date hereof each of the representations and warranties contained in Section 5 of the Guaranty and agrees to be bound by each of the covenants contained in Section 6 of the Guaranty; and</w:t>
      </w:r>
    </w:p>
    <w:p>
      <w:pPr>
        <w:spacing w:after="0" w:line="161" w:lineRule="exact"/>
        <w:rPr>
          <w:rFonts w:ascii="Times New Roman" w:cs="Times New Roman" w:eastAsia="Times New Roman" w:hAnsi="Times New Roman"/>
          <w:sz w:val="18"/>
          <w:szCs w:val="18"/>
          <w:color w:val="auto"/>
        </w:rPr>
      </w:pPr>
    </w:p>
    <w:p>
      <w:pPr>
        <w:ind w:left="1420" w:hanging="440"/>
        <w:spacing w:after="0"/>
        <w:tabs>
          <w:tab w:leader="none" w:pos="14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and agrees to each provision set forth in the Guaranty.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AND ENFORCED IN ACCORDANCE WITH, THE LAWS OF THE STATE OF NEW YORK, AND, TO THE EXTENT APPLICABLE, THE BANKRUPTCY CODE, APPLICABLE TO CONTRACTS EXECUTED, AND TO BE FULLY PERFORMED, IN SUCH STATE.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Next 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2" w:name="page153"/>
    <w:bookmarkEnd w:id="152"/>
    <w:p>
      <w:pPr>
        <w:spacing w:after="0" w:line="282" w:lineRule="auto"/>
        <w:rPr>
          <w:sz w:val="20"/>
          <w:szCs w:val="20"/>
          <w:color w:val="auto"/>
        </w:rPr>
      </w:pPr>
      <w:r>
        <w:rPr>
          <w:rFonts w:ascii="Times New Roman" w:cs="Times New Roman" w:eastAsia="Times New Roman" w:hAnsi="Times New Roman"/>
          <w:sz w:val="18"/>
          <w:szCs w:val="18"/>
          <w:color w:val="auto"/>
        </w:rPr>
        <w:t>IN WITNESS WHEREOF, the New Guarantor has caused this Accession Agreement to be duly executed and delivered under seal by its duly authorized officers as of the date first written above.</w:t>
      </w:r>
    </w:p>
    <w:p>
      <w:pPr>
        <w:spacing w:after="0" w:line="16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[NEW GUARANTOR]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4"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(CORPORATE SEAL)</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[Address line 1]</w:t>
      </w:r>
    </w:p>
    <w:p>
      <w:pPr>
        <w:sectPr>
          <w:pgSz w:w="11900" w:h="16838" w:orient="portrait"/>
          <w:cols w:equalWidth="0" w:num="1">
            <w:col w:w="11000"/>
          </w:cols>
          <w:pgMar w:left="320" w:top="661" w:right="57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[Address line 2] Attention: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ectPr>
          <w:pgSz w:w="11900" w:h="16838" w:orient="portrait"/>
          <w:cols w:equalWidth="0" w:num="2">
            <w:col w:w="7660" w:space="400"/>
            <w:col w:w="2940"/>
          </w:cols>
          <w:pgMar w:left="320" w:top="661" w:right="579" w:bottom="1440" w:gutter="0" w:footer="0" w:header="0"/>
          <w:type w:val="continuous"/>
        </w:sectPr>
      </w:pPr>
    </w:p>
    <w:p>
      <w:pPr>
        <w:ind w:left="5620"/>
        <w:spacing w:after="0"/>
        <w:tabs>
          <w:tab w:leader="none" w:pos="7640" w:val="left"/>
        </w:tabs>
        <w:rPr>
          <w:sz w:val="20"/>
          <w:szCs w:val="20"/>
          <w:color w:val="auto"/>
        </w:rPr>
      </w:pPr>
      <w:r>
        <w:rPr>
          <w:rFonts w:ascii="Times New Roman" w:cs="Times New Roman" w:eastAsia="Times New Roman" w:hAnsi="Times New Roman"/>
          <w:sz w:val="18"/>
          <w:szCs w:val="18"/>
          <w:color w:val="auto"/>
        </w:rPr>
        <w:t>Telecopy Number: [</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11000"/>
          </w:cols>
          <w:pgMar w:left="320" w:top="661" w:right="579" w:bottom="1440" w:gutter="0" w:footer="0" w:header="0"/>
          <w:type w:val="continuous"/>
        </w:sectPr>
      </w:pP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Telephone Number: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7160" w:space="580"/>
            <w:col w:w="3260"/>
          </w:cols>
          <w:pgMar w:left="320" w:top="661" w:right="579" w:bottom="1440" w:gutter="0" w:footer="0" w:header="0"/>
          <w:type w:val="continuous"/>
        </w:sectPr>
      </w:pPr>
    </w:p>
    <w:p>
      <w:pPr>
        <w:spacing w:after="0" w:line="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661" w:right="579" w:bottom="1440" w:gutter="0" w:footer="0" w:header="0"/>
          <w:type w:val="continuous"/>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TWIN GUARANTY</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See 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294005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657" w:right="1440" w:bottom="1440" w:gutter="0" w:footer="0" w:header="0"/>
        </w:sectPr>
      </w:pPr>
    </w:p>
    <w:bookmarkStart w:id="154" w:name="page155"/>
    <w:bookmarkEnd w:id="154"/>
    <w:p>
      <w:pPr>
        <w:jc w:val="center"/>
        <w:ind w:right="-19"/>
        <w:spacing w:after="0"/>
        <w:rPr>
          <w:sz w:val="20"/>
          <w:szCs w:val="20"/>
          <w:color w:val="auto"/>
        </w:rPr>
      </w:pPr>
      <w:r>
        <w:rPr>
          <w:rFonts w:ascii="Times New Roman" w:cs="Times New Roman" w:eastAsia="Times New Roman" w:hAnsi="Times New Roman"/>
          <w:sz w:val="18"/>
          <w:szCs w:val="18"/>
          <w:color w:val="auto"/>
        </w:rPr>
        <w:t>TWIN GUARANTY</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TWIN GUARANTY (this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dated as of [ ], 2026 executed and delivered by each of the undersigned and the other Persons from time to time party hereto pursuant to the execution and delivery of an Accession Agreement in the form of Annex I hereto (all of the undersigned, together with such other Persons each a “</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in favor of UMB BANK, N.A., in its capacity as administrative agent and collateral agent for the Twin DIP Lenders and the other Twin Secured Parties (as each such term is defined in the Credit Agreement (as defined below)) (in such capacities, the “</w:t>
      </w:r>
      <w:r>
        <w:rPr>
          <w:rFonts w:ascii="Times New Roman" w:cs="Times New Roman" w:eastAsia="Times New Roman" w:hAnsi="Times New Roman"/>
          <w:sz w:val="18"/>
          <w:szCs w:val="18"/>
          <w:u w:val="single" w:color="auto"/>
          <w:color w:val="auto"/>
        </w:rPr>
        <w:t>DIP Agent</w:t>
      </w:r>
      <w:r>
        <w:rPr>
          <w:rFonts w:ascii="Times New Roman" w:cs="Times New Roman" w:eastAsia="Times New Roman" w:hAnsi="Times New Roman"/>
          <w:sz w:val="18"/>
          <w:szCs w:val="18"/>
          <w:color w:val="auto"/>
        </w:rPr>
        <w:t>”) under that certain Debtor-in-Possession Credit Agreement, dated as of the date hereof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by and among,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TWIN HOSPITALITY I, LLC, a Delaware limited liability company and a debtor and debtor-in-possession under Chapter 11 of the Bankruptcy Code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financial institutions party thereto and their successors and assigns under Section 8(d) thereof, the DIP Agent, and the other parties thereto, for its benefit and the benefit of the Twin DIP Lenders and the other TWIN Secured Parties (the DIP Agent, the Twin DIP Lenders and the other Twin Secured Parties, each individually a “</w:t>
      </w:r>
      <w:r>
        <w:rPr>
          <w:rFonts w:ascii="Times New Roman" w:cs="Times New Roman" w:eastAsia="Times New Roman" w:hAnsi="Times New Roman"/>
          <w:sz w:val="18"/>
          <w:szCs w:val="18"/>
          <w:u w:val="single" w:color="auto"/>
          <w:color w:val="auto"/>
        </w:rPr>
        <w:t>Guarantied 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Guarantied Parties</w:t>
      </w:r>
      <w:r>
        <w:rPr>
          <w:rFonts w:ascii="Times New Roman" w:cs="Times New Roman" w:eastAsia="Times New Roman" w:hAnsi="Times New Roman"/>
          <w:sz w:val="18"/>
          <w:szCs w:val="18"/>
          <w:color w:val="auto"/>
        </w:rPr>
        <w:t>”). Capitalized terms used and not otherwise defined herein shall have their respective meanings given to such terms in the Credit Agreement.</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pursuant to the Credit Agreement, the Twin DIP Lenders have agreed to make available to the Borrower certain financial accommodations on the terms and conditions set forth in the Credit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certain Guarantors are parent entities that own or control, directly or indirectly, the Borrower, and each other Guarantor is owned or controlled by the Borrower and/or such parent entities;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the Borrower and each Guarantor, though separate legal entities, are mutually dependent on each other in the conduct of their respective businesses as an integrated operation and have determined it to be in their mutual best interests to obtain financing from the Guarantied Parties through their collective efforts;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each Guarantor acknowledges that it will receive direct and indirect benefits from the Guarantied Parties making such financial accommodations available to the Borrower under the Credit Agreement and, accordingly, each Guarantor has agreed to, jointly and severally, absolutely, irrevocably and unconditionally guarantee the Borrower’s obligations to the Guarantied Parties on the terms and conditions contained herein; and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each Guarantor’s execution and delivery of this Guaranty is a condition precedent to the DIP Agent and the other Guarantied Parties’ making, and continuing to make, such financial accommodations to the Borrower and to the DIP Agent and the other Guarantied Parties entering into the Credit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by each Guarantor,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agrees as follows: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Except as otherwise provided herein and subject to the entry and terms of the DIP Order, each Guarantor hereby jointly and severally, absolutely, irrevocably and unconditionally guaranties the due and punctual payment and performance when due, whether at stated maturity, by acceleration or otherwise, of all of the following (collectively referred to as the “</w:t>
      </w:r>
      <w:r>
        <w:rPr>
          <w:rFonts w:ascii="Times New Roman" w:cs="Times New Roman" w:eastAsia="Times New Roman" w:hAnsi="Times New Roman"/>
          <w:sz w:val="18"/>
          <w:szCs w:val="18"/>
          <w:u w:val="single" w:color="auto"/>
          <w:color w:val="auto"/>
        </w:rPr>
        <w:t>Guarantied Obligations</w:t>
      </w:r>
      <w:r>
        <w:rPr>
          <w:rFonts w:ascii="Times New Roman" w:cs="Times New Roman" w:eastAsia="Times New Roman" w:hAnsi="Times New Roman"/>
          <w:sz w:val="18"/>
          <w:szCs w:val="18"/>
          <w:color w:val="auto"/>
        </w:rPr>
        <w:t>”): (a) all indebtedness and obligations owing by the Borrower or any other Twin DIP Loan Party to any Twin DIP Lender, the DIP Agent or any other Twin Secured Party under or in connection with the Credit Agreement and any other DIP Loan Document to which the Borrower or such other Twin DIP Loan Party is a party, including without limitation, the repayment of all principal of the DIP Loans extended by the Twin DIP Lenders, and the payment of all interest, fees, charges, reasonable attorneys’ fees and other amounts payable to any Twin Secured Party thereunder or in connection therewith; (b) any and all extensions, renewals, modifications, amendments or substitutions of the foregoing; (c) all expenses, including, without limitation, reasonable attorneys’ fees and disbursements, that are incurred by the DIP Agent or any other Guarantied Party in the enforcement of any of the foregoing or any obligation of such Guarantor hereunder; and (d) all other Twin DIP Obligations.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Guaranty of Payment and Not of Collection</w:t>
      </w:r>
      <w:r>
        <w:rPr>
          <w:rFonts w:ascii="Times New Roman" w:cs="Times New Roman" w:eastAsia="Times New Roman" w:hAnsi="Times New Roman"/>
          <w:sz w:val="18"/>
          <w:szCs w:val="18"/>
          <w:color w:val="auto"/>
        </w:rPr>
        <w:t>. This Guaranty is a guaranty of payment, and not of collection, and a debt of each Guarantor for its own account. Accordingly, the Guarantied Parties shall not be obligated or required before enforcing this Guaranty against any Guarantor: (a) to pursue any right or remedy the Guarantied Parties may have against the Borrower, any other Twin DIP Loan Party or any other Person or commence any suit or other proceeding against the Borrower, any other Twin DIP Loan Party or any other Person in any court or other tribunal; (b) to make any claim in a liquidation or bankruptcy of the Borrower, any other Twin DIP Loan Party or any other Person; or (c) to make demand of the Borrower, any other Twin DIP Loan Party or any other Person or to enforce or seek to enforce or realize upon any collateral security held by the Guarantied Parties which may secure any of the Guarantied Obligations.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Guaranty Absolute</w:t>
      </w:r>
      <w:r>
        <w:rPr>
          <w:rFonts w:ascii="Times New Roman" w:cs="Times New Roman" w:eastAsia="Times New Roman" w:hAnsi="Times New Roman"/>
          <w:sz w:val="18"/>
          <w:szCs w:val="18"/>
          <w:color w:val="auto"/>
        </w:rPr>
        <w:t>. Subject to the entry and terms of the DIP Order, each Guarantor guarantees that the Guarantied Obligations will be paid strictly in accordance with the terms of the documents evidencing the same, regardless of any applicable laws now or hereafter in effect in any jurisdiction affecting any of such terms or the rights of the Guarantied Parties with respect thereto. Subject to the DIP Order, the liability of each Guarantor under this Guaranty shall be absolute, irrevocable and unconditional in accordance with its terms and shall remain in full force and effect without regard to, and shall not be released, suspended, discharged, terminated or otherwise affected by, any circumstance or occurrence whatsoever, including without limitation, the following (whether or not such Guarantor consents thereto or has notice thereof):</w:t>
      </w:r>
    </w:p>
    <w:p>
      <w:pPr>
        <w:spacing w:after="0" w:line="187" w:lineRule="exact"/>
        <w:rPr>
          <w:sz w:val="20"/>
          <w:szCs w:val="20"/>
          <w:color w:val="auto"/>
        </w:rPr>
      </w:pPr>
    </w:p>
    <w:p>
      <w:pPr>
        <w:jc w:val="both"/>
        <w:ind w:left="340" w:firstLine="639"/>
        <w:spacing w:after="0" w:line="255" w:lineRule="auto"/>
        <w:tabs>
          <w:tab w:leader="none" w:pos="122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change in the amount, interest rate or due date or other term of any of the Guarantied Obligations, (ii) any change in the time, place or manner of payment of all or any portion of the Guarantied Obligations, (iii) except as expressly set forth therein, any amendment or waiver of, or consent to the departure from or other indulgence with respect to, the Credit Agreement, any other DIP Loan Document, or any other document or instrument evidencing or relating to any Guarantied Obligations, or (iv) except as expressly set forth therein, any waiver, renewal, extension, addition, or supplement to, or deletion from, or any other action or inaction under or in respect of, the Credit Agreement, any of the other DIP Loan Documents, or any other documents, instruments or agreements relating to the Guarantied Obligations or any other instrument or agreement referred to therein or evidencing any Guarantied Obligations or any assignment or transfer of any of the foregoing;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6" w:name="page157"/>
    <w:bookmarkEnd w:id="156"/>
    <w:p>
      <w:pPr>
        <w:ind w:firstLine="639"/>
        <w:spacing w:after="0" w:line="282" w:lineRule="auto"/>
        <w:tabs>
          <w:tab w:leader="none" w:pos="89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the Credit Agreement, any of the other DIP Loan Documents or any other document, instrument or agreement referred to therein or evidencing any Guarantied Obligations or any assignment or transfer of any of the foregoing;</w:t>
      </w:r>
    </w:p>
    <w:p>
      <w:pPr>
        <w:spacing w:after="0" w:line="161" w:lineRule="exact"/>
        <w:rPr>
          <w:rFonts w:ascii="Times New Roman" w:cs="Times New Roman" w:eastAsia="Times New Roman" w:hAnsi="Times New Roman"/>
          <w:sz w:val="18"/>
          <w:szCs w:val="18"/>
          <w:color w:val="auto"/>
        </w:rPr>
      </w:pPr>
    </w:p>
    <w:p>
      <w:pPr>
        <w:ind w:firstLine="639"/>
        <w:spacing w:after="0" w:line="282" w:lineRule="auto"/>
        <w:tabs>
          <w:tab w:leader="none" w:pos="88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furnishing to the Guarantied Parties of any security for the Guarantied Obligations, or any sale, exchange, release or surrender of, or realization on, any collateral securing any of the Guarantied Obligations;</w:t>
      </w:r>
    </w:p>
    <w:p>
      <w:pPr>
        <w:spacing w:after="0" w:line="161" w:lineRule="exact"/>
        <w:rPr>
          <w:rFonts w:ascii="Times New Roman" w:cs="Times New Roman" w:eastAsia="Times New Roman" w:hAnsi="Times New Roman"/>
          <w:sz w:val="18"/>
          <w:szCs w:val="18"/>
          <w:color w:val="auto"/>
        </w:rPr>
      </w:pPr>
    </w:p>
    <w:p>
      <w:pPr>
        <w:jc w:val="both"/>
        <w:ind w:firstLine="639"/>
        <w:spacing w:after="0" w:line="266" w:lineRule="auto"/>
        <w:tabs>
          <w:tab w:leader="none" w:pos="91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variation, extension, waiver, release, settlement or compromise of any of the Guarantied Obligations, any security therefor, or any liability of any other party with respect to the Guarantied Obligations, or any subordination of the payment of the Guarantied Obligations to the payment of any other liability of the Borrower or any other Twin DIP Loan Party;</w:t>
      </w:r>
    </w:p>
    <w:p>
      <w:pPr>
        <w:spacing w:after="0" w:line="175" w:lineRule="exact"/>
        <w:rPr>
          <w:rFonts w:ascii="Times New Roman" w:cs="Times New Roman" w:eastAsia="Times New Roman" w:hAnsi="Times New Roman"/>
          <w:sz w:val="18"/>
          <w:szCs w:val="18"/>
          <w:color w:val="auto"/>
        </w:rPr>
      </w:pPr>
    </w:p>
    <w:p>
      <w:pPr>
        <w:jc w:val="both"/>
        <w:ind w:firstLine="639"/>
        <w:spacing w:after="0" w:line="266" w:lineRule="auto"/>
        <w:tabs>
          <w:tab w:leader="none" w:pos="90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bankruptcy, insolvency, reorganization, composition, adjustment, dissolution, liquidation or other like proceeding relating to such Guarantor, the Borrower, any other Twin DIP Loan Party or any other Person, or any action taken with respect to this Guaranty by any trustee or receiver, or by any court, in any such proceeding;</w:t>
      </w:r>
    </w:p>
    <w:p>
      <w:pPr>
        <w:spacing w:after="0" w:line="175" w:lineRule="exact"/>
        <w:rPr>
          <w:rFonts w:ascii="Times New Roman" w:cs="Times New Roman" w:eastAsia="Times New Roman" w:hAnsi="Times New Roman"/>
          <w:sz w:val="18"/>
          <w:szCs w:val="18"/>
          <w:color w:val="auto"/>
        </w:rPr>
      </w:pPr>
    </w:p>
    <w:p>
      <w:pPr>
        <w:ind w:firstLine="639"/>
        <w:spacing w:after="0" w:line="282" w:lineRule="auto"/>
        <w:tabs>
          <w:tab w:leader="none" w:pos="86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failure to act by the Borrower, any other Twin DIP Loan Party or any other Person which may adversely affect such Guarantor’s subrogation rights, if any, against the Borrower or any other Twin DIP Loan Party to recover payments made under this Guaranty;</w:t>
      </w:r>
    </w:p>
    <w:p>
      <w:pPr>
        <w:spacing w:after="0" w:line="161" w:lineRule="exact"/>
        <w:rPr>
          <w:rFonts w:ascii="Times New Roman" w:cs="Times New Roman" w:eastAsia="Times New Roman" w:hAnsi="Times New Roman"/>
          <w:sz w:val="18"/>
          <w:szCs w:val="18"/>
          <w:color w:val="auto"/>
        </w:rPr>
      </w:pPr>
    </w:p>
    <w:p>
      <w:pPr>
        <w:ind w:firstLine="639"/>
        <w:spacing w:after="0" w:line="282" w:lineRule="auto"/>
        <w:tabs>
          <w:tab w:leader="none" w:pos="89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non-perfection or impairment of any security interest or other Lien on any collateral, if any, securing in any way any of the Guarantied Obligations;</w:t>
      </w:r>
    </w:p>
    <w:p>
      <w:pPr>
        <w:spacing w:after="0" w:line="161" w:lineRule="exact"/>
        <w:rPr>
          <w:rFonts w:ascii="Times New Roman" w:cs="Times New Roman" w:eastAsia="Times New Roman" w:hAnsi="Times New Roman"/>
          <w:sz w:val="18"/>
          <w:szCs w:val="18"/>
          <w:color w:val="auto"/>
        </w:rPr>
      </w:pPr>
    </w:p>
    <w:p>
      <w:pPr>
        <w:ind w:firstLine="639"/>
        <w:spacing w:after="0" w:line="282" w:lineRule="auto"/>
        <w:tabs>
          <w:tab w:leader="none" w:pos="91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application of sums paid by the Borrower, any Guarantor or any other Person with respect to the liabilities of the Borrower to the Guarantied Parties, regardless of what liabilities of the Borrower remain unpaid;</w:t>
      </w:r>
    </w:p>
    <w:p>
      <w:pPr>
        <w:spacing w:after="0" w:line="161" w:lineRule="exact"/>
        <w:rPr>
          <w:rFonts w:ascii="Times New Roman" w:cs="Times New Roman" w:eastAsia="Times New Roman" w:hAnsi="Times New Roman"/>
          <w:sz w:val="18"/>
          <w:szCs w:val="18"/>
          <w:color w:val="auto"/>
        </w:rPr>
      </w:pPr>
    </w:p>
    <w:p>
      <w:pPr>
        <w:ind w:firstLine="639"/>
        <w:spacing w:after="0" w:line="282" w:lineRule="auto"/>
        <w:tabs>
          <w:tab w:leader="none" w:pos="85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capacity or authority of the Borrower or any other Twin DIP Loan Party relating to the Twin DIP Obligations or any defect, limitation or insufficiency in the borrowing powers of the Borrower or in the exercise thereof;</w:t>
      </w:r>
    </w:p>
    <w:p>
      <w:pPr>
        <w:spacing w:after="0" w:line="161" w:lineRule="exact"/>
        <w:rPr>
          <w:rFonts w:ascii="Times New Roman" w:cs="Times New Roman" w:eastAsia="Times New Roman" w:hAnsi="Times New Roman"/>
          <w:sz w:val="18"/>
          <w:szCs w:val="18"/>
          <w:color w:val="auto"/>
        </w:rPr>
      </w:pPr>
    </w:p>
    <w:p>
      <w:pPr>
        <w:jc w:val="both"/>
        <w:ind w:firstLine="639"/>
        <w:spacing w:after="0" w:line="266" w:lineRule="auto"/>
        <w:tabs>
          <w:tab w:leader="none" w:pos="85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defense, set off, claim or counterclaim (other than indefeasible payment and performance in full) which may at any time be available to or be asserted by the Borrower, any other Twin DIP Loan Party or any other Person against the DIP Agent, any Twin DIP Lender or any other Twin Secured Party;</w:t>
      </w:r>
    </w:p>
    <w:p>
      <w:pPr>
        <w:spacing w:after="0" w:line="175" w:lineRule="exact"/>
        <w:rPr>
          <w:rFonts w:ascii="Times New Roman" w:cs="Times New Roman" w:eastAsia="Times New Roman" w:hAnsi="Times New Roman"/>
          <w:sz w:val="18"/>
          <w:szCs w:val="18"/>
          <w:color w:val="auto"/>
        </w:rPr>
      </w:pPr>
    </w:p>
    <w:p>
      <w:pPr>
        <w:ind w:left="900" w:hanging="261"/>
        <w:spacing w:after="0"/>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corporate existence, structure or ownership of the Borrower or any other Twin DIP Loan Party;</w:t>
      </w:r>
    </w:p>
    <w:p>
      <w:pPr>
        <w:spacing w:after="0" w:line="225" w:lineRule="exact"/>
        <w:rPr>
          <w:rFonts w:ascii="Times New Roman" w:cs="Times New Roman" w:eastAsia="Times New Roman" w:hAnsi="Times New Roman"/>
          <w:sz w:val="18"/>
          <w:szCs w:val="18"/>
          <w:color w:val="auto"/>
        </w:rPr>
      </w:pPr>
    </w:p>
    <w:p>
      <w:pPr>
        <w:jc w:val="both"/>
        <w:ind w:firstLine="640"/>
        <w:spacing w:after="0" w:line="266" w:lineRule="auto"/>
        <w:tabs>
          <w:tab w:leader="none" w:pos="85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representation or warranty made or deemed made by or on behalf of the Borrower, any Twin DIP Guarantor or any other Twin DIP Loan Party under any DIP Loan Document, or any amendment hereto or thereto, proves to have been incorrect or misleading in any respect; or</w:t>
      </w:r>
    </w:p>
    <w:p>
      <w:pPr>
        <w:spacing w:after="0" w:line="17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661" w:right="339" w:bottom="1440" w:gutter="0" w:footer="0" w:header="0"/>
        </w:sectPr>
      </w:pPr>
    </w:p>
    <w:bookmarkStart w:id="157" w:name="page158"/>
    <w:bookmarkEnd w:id="157"/>
    <w:p>
      <w:pPr>
        <w:ind w:left="340" w:firstLine="640"/>
        <w:spacing w:after="0" w:line="282" w:lineRule="auto"/>
        <w:tabs>
          <w:tab w:leader="none" w:pos="130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which might otherwise constitute a defense available to, or a discharge of, a Guarantor hereunder (other than indefeasible payment and performance of the Twin DIP Obligations in full).</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Action with Respect to Guarantied Obligations</w:t>
      </w:r>
      <w:r>
        <w:rPr>
          <w:rFonts w:ascii="Times New Roman" w:cs="Times New Roman" w:eastAsia="Times New Roman" w:hAnsi="Times New Roman"/>
          <w:sz w:val="18"/>
          <w:szCs w:val="18"/>
          <w:color w:val="auto"/>
        </w:rPr>
        <w:t>. Subject to the DIP Order, the Guarantied Parties may, at any time and from time to time, without the consent of, or notice to, any Guarantor, and without discharging any Guarantor from its obligations hereunder, take any and all actions described in Section 3 and may otherwise, subject to the terms of the Loan Documents: (a) amend, modify, alter or supplement the terms of any of the Guarantied Obligations, including, but not limited to, extending or shortening the time of payment of any of the Guarantied Obligations or changing the interest rate that may accrue on any of the Guarantied Obligations; (b) amend, modify, alter or supplement the Credit Agreement or any other DIP Loan Document; (c) sell, exchange, release or otherwise deal with all, or any part, of any collateral securing any of the Guarantied Obligations; (d) release any Twin DIP Loan Party or other Person liable in any manner for the payment or collection of the Guarantied Obligations; (e) exercise, or refrain from exercising, any rights against the Borrower, any other Loan Party or any other Person; and (f) apply any sum, by whomsoever paid or however realized, to the Guarantied Obligations in such order as the Guarantied Parties shall elect.</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Guarantor hereby makes to the DIP Agent and the other Guarantied Parties all of the representations and warranties made by the Borrower with respect to or in any way relating to such Guarantor in the Credit Agreement and the other DIP Loan Documents, as if the same were set forth herein in full.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Covenants</w:t>
      </w:r>
      <w:r>
        <w:rPr>
          <w:rFonts w:ascii="Times New Roman" w:cs="Times New Roman" w:eastAsia="Times New Roman" w:hAnsi="Times New Roman"/>
          <w:sz w:val="18"/>
          <w:szCs w:val="18"/>
          <w:color w:val="auto"/>
        </w:rPr>
        <w:t>. Each Guarantor shall comply with all covenants and obligations that the Credit Agreement or any other DIP Loan Document requires the Borrower to cause such Guarantor to comply with under the terms of the Credit Agreement or any of the other Loan Documents, as if the same were set forth herein in full.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Each Guarantor, to the fullest extent permitted by any applicable laws, hereby waives notice of acceptance hereof or any presentment, demand, protest or notice of any kind, and any other act or thing, or omission or delay to do any other act or thing, which in any manner or to any extent might vary the risk of such Guarantor or which otherwise might operate to discharge such Guarantor from its obligations hereunder. To the extent not referred to above, each Guarantor hereby waives any and all defenses which the Borrower may now or hereafter have to the performance of the Twin DIP Obligations, together with any and all suretyship defenses, which could otherwise be asserted by such Guarantor.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Inability to Accelerate Loan</w:t>
      </w:r>
      <w:r>
        <w:rPr>
          <w:rFonts w:ascii="Times New Roman" w:cs="Times New Roman" w:eastAsia="Times New Roman" w:hAnsi="Times New Roman"/>
          <w:sz w:val="18"/>
          <w:szCs w:val="18"/>
          <w:color w:val="auto"/>
        </w:rPr>
        <w:t>. If the Guarantied Parties or any of them are prevented under applicable laws or otherwise from demanding or accelerating payment of any of the Guarantied Obligations by reason of any automatic stay or otherwise, subject to the DIP Order, the DIP Agent (acting at the written direction of the Required Twin Lenders) and/or the other Guarantied Parties shall be entitled to receive from each Guarantor, upon demand therefor, the sums which otherwise would have been due had such demand or acceleration occurred.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8" w:name="page159"/>
    <w:bookmarkEnd w:id="158"/>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Reinstatement of Guarantied Obligations</w:t>
      </w:r>
      <w:r>
        <w:rPr>
          <w:rFonts w:ascii="Times New Roman" w:cs="Times New Roman" w:eastAsia="Times New Roman" w:hAnsi="Times New Roman"/>
          <w:sz w:val="18"/>
          <w:szCs w:val="18"/>
          <w:color w:val="auto"/>
        </w:rPr>
        <w:t>. If a claim is ever made on the DIP Agent or any other Guarantied Party for repayment or recovery of any amount or amounts received in payment or on account of any of the Guarantied Obligations, and the DIP Agent or such other Guarantied Party repays all or part of said amount by reason of (a) any judgment, decree or order of any court or administrative body of competent jurisdiction, or (b) any settlement or compromise of any such claim effected by the DIP Agent or such other Guarantied Party with any such claimant (including the Borrower or a trustee in bankruptcy for the Borrower), then and in such event each Guarantor agrees that any such judgment, decree, order, settlement or compromise shall be binding on it, notwithstanding any revocation hereof or the cancellation of the Credit Agreement, any of the other DIP Loan Documents, or any other instrument evidencing any liability of the Borrower, and such Guarantor shall be and remain liable to the DIP Agent or such other Guarantied Party for the amounts so repaid or recovered to the same extent as if such amount had never originally been paid to the DIP Agent or such other Guarantied Party.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Subrogation</w:t>
      </w:r>
      <w:r>
        <w:rPr>
          <w:rFonts w:ascii="Times New Roman" w:cs="Times New Roman" w:eastAsia="Times New Roman" w:hAnsi="Times New Roman"/>
          <w:sz w:val="18"/>
          <w:szCs w:val="18"/>
          <w:color w:val="auto"/>
        </w:rPr>
        <w:t>. Upon the making by any Guarantor of any payment hereunder for the account of the Borrower, such Guarantor shall be subrogated to the rights of the payee against the Borrower; provided, however, that such Guarantor shall not enforce any right or receive any payment by way of subrogation or otherwise take any action in respect of any other claim or cause of action such Guarantor may have against the Borrower arising by reason of any payment or performance by such Guarantor pursuant to this Guaranty, unless and until all of the Guarantied Obligations have been indefeasibly paid and performed in full. If any amount shall be paid to such Guarantor on account of or in respect of such subrogation rights or other claims or causes of action, such Guarantor shall hold such amount in trust for the benefit of the Guarantied Parties and shall forthwith pay such amount to the DIP Agent to be credited and applied against the Guarantied Obligations, whether matured or unmatured, in accordance with the terms of the Credit Agreement or to be held by the DIP Agent as collateral security for any Guarantied Obligations existing.</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Payments Free and Clear</w:t>
      </w:r>
      <w:r>
        <w:rPr>
          <w:rFonts w:ascii="Times New Roman" w:cs="Times New Roman" w:eastAsia="Times New Roman" w:hAnsi="Times New Roman"/>
          <w:sz w:val="18"/>
          <w:szCs w:val="18"/>
          <w:color w:val="auto"/>
        </w:rPr>
        <w:t>. All sums payable by each Guarantor hereunder, whether of principal, interest, fees, expenses, premiums or otherwise, shall be paid in full, without set-off or counterclaim or any deduction or withholding whatsoever (including any Taxes), and if such Guarantor is required by applicable laws or by any Governmental Authority to make any such deduction or withholding such Guarantor shall pay to the DIP Agent and the Twin DIP Lenders such additional amount as will result in the receipt by the DIP Agent and the Twin DIP Lenders of the full amount payable hereunder had such deduction or withholding not occurred or been required.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In addition to any rights now or hereafter granted under any of the other DIP Loan Documents or applicable laws and not by way of limitation of any such rights, but subject to the terms of the Credit Agreement and the DIP Order, each Guarantor hereby authorizes each Guarantied Party, at any time while an Event of Default exists and is continuing, without any prior notice to such Guarantor or to any other Person, any such notice being hereby expressly waived, but in the case of an Twin DIP Lender subject to receipt of the prior written consent of the Required Twin Lenders, to set-off and to appropriate and to apply any and all deposits (general or special, including, but not limited to, indebtedness evidenced by certificates of deposit, whether matured or unmatured) and any other indebtedness at any time held or owing by such Guarantied Party or any affiliate of such Guarantied Party to or for the credit or the account of such Guarantor against and on account of any of the Guarantied Obligations that are then due and owing. Following termination of this Guaranty pursuant to Section 20, subject to Section 9, such Guarantor shall be entitled to receive contribution and indemnification payments from, and be reimbursed by, each other Guarantor for any amounts paid by such Guarantor under this Guaranty in excess of such Guarantor’s proportionate share of the Guarantied Obligations, calculated based upon the relative fair values of each Guarantor’s assets at the time such payment was made.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Subordination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Guarantor hereby expressly covenants and agrees for the benefit of the Guarantied Parties that all rights of indemnity, contribution or subrogation of any Guarantor against the Borrower, whether under this Guaranty, any applicable laws or otherwise (collectively, the “</w:t>
      </w:r>
      <w:r>
        <w:rPr>
          <w:rFonts w:ascii="Times New Roman" w:cs="Times New Roman" w:eastAsia="Times New Roman" w:hAnsi="Times New Roman"/>
          <w:sz w:val="18"/>
          <w:szCs w:val="18"/>
          <w:u w:val="single" w:color="auto"/>
          <w:color w:val="auto"/>
        </w:rPr>
        <w:t>Junior Claims</w:t>
      </w:r>
      <w:r>
        <w:rPr>
          <w:rFonts w:ascii="Times New Roman" w:cs="Times New Roman" w:eastAsia="Times New Roman" w:hAnsi="Times New Roman"/>
          <w:sz w:val="18"/>
          <w:szCs w:val="18"/>
          <w:color w:val="auto"/>
        </w:rPr>
        <w:t>”), shall be subordinate and junior in right of payment to all Guarantied Obligations. If an Event of Default shall exist, then no Guarantor shall accept any direct or indirect payment (in cash, property or securities, by setoff or otherwise) from the Borrower on account of or in any manner in respect of any Junior Claim until all of the Guarantied Obligations have been indefeasibly paid in full.</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Avoidance Provisions</w:t>
      </w:r>
      <w:r>
        <w:rPr>
          <w:rFonts w:ascii="Times New Roman" w:cs="Times New Roman" w:eastAsia="Times New Roman" w:hAnsi="Times New Roman"/>
          <w:sz w:val="18"/>
          <w:szCs w:val="18"/>
          <w:color w:val="auto"/>
        </w:rPr>
        <w:t>. It is the intent of each Guarantor, the DIP Agent and the other Guarantied Parties that in any Proceeding (as defined in Section 31), subject to the DIP Order, such Guarantor’s maximum obligation hereunder shall equal, but not exceed, the maximum amount which would not otherwise cause the obligations of such Guarantor hereunder (or any other obligations of such Guarantor to the Guarantied Parties) to be avoidable or unenforceable against such Guarantor in such Proceeding as a result of applicable laws, including without limitation, (a) Section 548 of the Bankruptcy Code of 1978, as amended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and (b) any voidable transactions act, fraudulent transfer act, fraudulent conveyance act or similar law to the extent applicable to this Guaranty or other statute applied in such Proceeding, whether by virtue of Section 544 of the Bankruptcy Code or otherwise. Subject to the DIP Order, any applicable laws under which the possible avoidance or unenforceability of the obligations of such Guarantor hereunder (or any other obligations of such Guarantor to the Guarantied Parties) as determined in any such Proceeding are referred to as the “</w:t>
      </w:r>
      <w:r>
        <w:rPr>
          <w:rFonts w:ascii="Times New Roman" w:cs="Times New Roman" w:eastAsia="Times New Roman" w:hAnsi="Times New Roman"/>
          <w:sz w:val="18"/>
          <w:szCs w:val="18"/>
          <w:u w:val="single" w:color="auto"/>
          <w:color w:val="auto"/>
        </w:rPr>
        <w:t>Avoidance Provisions</w:t>
      </w:r>
      <w:r>
        <w:rPr>
          <w:rFonts w:ascii="Times New Roman" w:cs="Times New Roman" w:eastAsia="Times New Roman" w:hAnsi="Times New Roman"/>
          <w:sz w:val="18"/>
          <w:szCs w:val="18"/>
          <w:color w:val="auto"/>
        </w:rPr>
        <w:t>”). Accordingly, to the extent that the obligations of any Guarantor hereunder would otherwise be subject to avoidance under the Avoidance Provisions, the maximum Guarantied Obligations for which such Guarantor shall be liable hereunder shall be reduced to that amount which, as of the time any of the Guarantied Obligations are deemed to have been incurred under the Avoidance Provisions, would not cause the obligations of such Guarantor hereunder (or any other obligations of such Guarantor to the Guarantied Parties), to be subject to avoidance under the Avoidance Provisions. This Section is intended solely to preserve the rights of the DIP Agent and the other Guarantied Parties hereunder to the maximum extent that would not cause the obligations of any Guarantor hereunder to be subject to avoidance under the Avoidance Provisions, and no Guarantor or any other Person shall have any right or claim under this Section as against the Guarantied Parties that would not otherwise be available to such Person under the Avoidance Provisions.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Guarantor assumes all responsibility for being and keeping itself informed of the financial condition of the Borrower and the other Twin DIP Loan Parties, and of all other circumstances bearing upon the risk of nonpayment of any of the Guarantied Obligations and the nature, scope and extent of the risks that such Guarantor assumes and incurs hereunder, and agrees that neither the DIP Agent nor any other Guarantied Party shall have any duty whatsoever to advise any Guarantor of information regarding such circumstances or risks.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0" w:name="page161"/>
    <w:bookmarkEnd w:id="160"/>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GUARANTY SHALL BE GOVERNED BY, AND CONSTRUED AND ENFORCED IN ACCORDANCE WITH, THE LAWS OF THE STATE OF NEW YORK APPLICABLE TO CONTRACTS EXECUTED, AND TO BE FULLY PERFORMED, IN SUCH STATE, AND, TO THE EXTENT APPLICABLE, THE BANKRUPTCY CODE.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40" w:firstLine="640"/>
        <w:spacing w:after="0" w:line="255" w:lineRule="auto"/>
        <w:tabs>
          <w:tab w:leader="none" w:pos="125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AND EACH OF THE DIP AGENT AND THE OTHER GUARANTIED PARTIES BY ACCEPTING THE BENEFITS HEREOF, ACKNOWLEDGES THAT ANY DISPUTE OR CONTROVERSY BETWEEN SUCH GUARANTOR, THE DIP AGENT OR ANY OF THE OTHER GUARANTIED PARTIES WOULD BE BASED ON DIFFICULT AND COMPLEX ISSUES OF LAW AND FACT AND WOULD RESULT IN DELAY AND EXPENSE TO THE PARTIES. ACCORDINGLY, TO THE EXTENT PERMITTED BY APPLICABLE LAWS, EACH OF THE GUARANTORS, THE DIP AGENT AND THE OTHER GUARANTIED PARTIES HEREBY WAIVES ITS RIGHT TO A TRIAL BY JURY IN ANY ACTION OR PROCEEDING OF ANY KIND OR NATURE IN ANY COURT OR TRIBUNAL IN WHICH AN ACTION MAY BE COMMENCED BY OR AGAINST ANY PARTY HERETO ARISING OUT OF THIS GUARANTY.</w:t>
      </w:r>
    </w:p>
    <w:p>
      <w:pPr>
        <w:spacing w:after="0" w:line="188" w:lineRule="exact"/>
        <w:rPr>
          <w:rFonts w:ascii="Times New Roman" w:cs="Times New Roman" w:eastAsia="Times New Roman" w:hAnsi="Times New Roman"/>
          <w:sz w:val="18"/>
          <w:szCs w:val="18"/>
          <w:color w:val="auto"/>
        </w:rPr>
      </w:pPr>
    </w:p>
    <w:p>
      <w:pPr>
        <w:jc w:val="both"/>
        <w:ind w:left="340" w:firstLine="640"/>
        <w:spacing w:after="0" w:line="253" w:lineRule="auto"/>
        <w:tabs>
          <w:tab w:leader="none" w:pos="126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AND EACH OF THE DIP AGENT AND THE OTHER GUARANTIED PARTIES BY ACCEPTING THE BENEFITS HEREOF, HEREBY AGREES THAT THE BANKRUPTCY COURT, OR IF THE BANKRUPTCY COURT DOES NOT HAVE, OR ABSTAINS FROM JURISDICTION, ANY FEDERAL DISTRICT COURT LOCATED IN THE SOUTHERN DISTRICT OF NEW YORK AND ANY STATE COURT LOCATED IN NEW YORK, NEW YORK SHALL HAVE JURISDICTION TO HEAR AND DETERMINE ANY CLAIMS OR DISPUTES BETWEEN OR AMONG THE GUARANTORS, THE DIP AGENT OR ANY OF THE OTHER GUARANTIED PARTIES, PERTAINING DIRECTLY OR INDIRECTLY TO THIS GUARANTY. EACH GUARANTOR AND EACH OF THE DIP AGENT AND THE OTHER GUARANTIED PARTIES EXPRESSLY SUBMITS AND CONSENTS IN ADVANCE TO SUCH JURISDICTION IN ANY ACTION OR PROCEEDING COMMENCED IN SUCH COURTS. EACH PARTY FURTHER WAIVES ANY OBJECTION THAT IT MAY NOW OR HEREAFTER HAVE TO THE VENUE OF ANY SUCH ACTION OR PROCEEDING IN ANY SUCH COURT OR THAT SUCH ACTION OR PROCEEDING WAS BROUGHT IN AN INCONVENIENT FORUM AND EACH AGREES NOT TO PLEAD OR CLAIM THE SAME. THE CHOICE OF FORUM SET FORTH IN THIS SECTION SHALL NOT BE DEEMED TO PRECLUDE THE BRINGING OF ANY ACTION BY THE DIP AGENT OR ANY OTHER GUARANTIED PARTY OR THE ENFORCEMENT BY THE DIP AGENT OR ANY OTHER GUARANTIED PARTY OF ANY JUDGMENT OBTAINED IN SUCH FORUM IN ANY OTHER APPROPRIATE JURISDICTION.</w:t>
      </w:r>
    </w:p>
    <w:p>
      <w:pPr>
        <w:spacing w:after="0" w:line="187" w:lineRule="exact"/>
        <w:rPr>
          <w:rFonts w:ascii="Times New Roman" w:cs="Times New Roman" w:eastAsia="Times New Roman" w:hAnsi="Times New Roman"/>
          <w:sz w:val="18"/>
          <w:szCs w:val="18"/>
          <w:color w:val="auto"/>
        </w:rPr>
      </w:pPr>
    </w:p>
    <w:p>
      <w:pPr>
        <w:jc w:val="both"/>
        <w:ind w:left="340" w:firstLine="639"/>
        <w:spacing w:after="0" w:line="261" w:lineRule="auto"/>
        <w:tabs>
          <w:tab w:leader="none" w:pos="122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AND THE TERMINATION OF THIS GUARANTY.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Waiver of Remedies</w:t>
      </w:r>
      <w:r>
        <w:rPr>
          <w:rFonts w:ascii="Times New Roman" w:cs="Times New Roman" w:eastAsia="Times New Roman" w:hAnsi="Times New Roman"/>
          <w:sz w:val="18"/>
          <w:szCs w:val="18"/>
          <w:color w:val="auto"/>
        </w:rPr>
        <w:t>. No delay or failure on the part of the DIP Agent or any other Guarantied Party in the exercise of any right or remedy it may have against any Guarantor hereunder or otherwise shall operate as a waiver thereof, and no single or partial exercise by the DIP Agent or any other Guarantied Party of any such right or remedy shall preclude any other or further exercise thereof or the exercise of any other such right or remedy.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Subject to reinstatement of this Guaranty pursuant to Section 9, this Guaranty shall remain in full force and effect with respect to each Guarantor until indefeasible payment in full of the Guarantied Obligations and the other Twin DIP Obligations (other than contingent obligations for which no claim has been asserted) and the termination or cancellation of the Credit Agreement in accordance with its terms. Upon release of any Guarantor in accordance with Section 8(e)(ii)(H) of the Credit Agreement, such Guarantor shall be automatically released from its obligations as a “Guarantor” hereunder.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herein, each Guarantor shall be automatically released from its obligations hereunder upon the consummation of any sale, transfer, or other disposition of all of the Equity Interests in such Guarantor permitted pursuant to the Credit Agreement and expressly authorized by a final order of the Bankruptcy Court to a Person that is not a Twin DIP Loan Party. Upon request of any Guarantor following such release, the DIP Agent (acting at the written direction of the Required Twin Lenders) shall promptly execute and deliver to such Guarantor, at such Guarantor’s expense, all documents reasonably requested by such Guarantor to evidence such release. Any execution and delivery of documents pursuant to this Section shall be without recourse to or warranty by the DIP Agent.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Each reference herein to the DIP Agent or any other Guarantied Party shall be deemed to include such Person’s respective successors and assigns (including, but not limited to, any holder of the Guarantied Obligations) in whose favor the provisions of this Guaranty also shall inure, and each reference herein to each Guarantor shall be deemed to include such Guarantor’s successors and assigns, upon whom this Guaranty also shall be binding. Subject to the DIP Order, the Guarantied Parties may, in accordance with the applicable provisions of the Credit Agreement, assign, transfer or sell any Guarantied Obligation, or grant or sell participations in any Guarantied Obligations, to any Person without the consent of, or notice to, any Guarantor and without releasing, discharging or modifying any Guarantor’s obligations hereunder. Each Guarantor hereby consents to the delivery by the DIP Agent or any other Guarantied Party to any assignee or participant of any financial or other information regarding the Borrower or any Guarantor. No Guarantor may assign or transfer its rights or obligations hereunder to any Person without the prior written consent of all DIP Lenders and any such assignment or other transfer to which all of the DIP Lenders have not so consented shall be null and void.</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JOINT AND SEVERAL OBLIGATIONS</w:t>
      </w:r>
      <w:r>
        <w:rPr>
          <w:rFonts w:ascii="Times New Roman" w:cs="Times New Roman" w:eastAsia="Times New Roman" w:hAnsi="Times New Roman"/>
          <w:sz w:val="18"/>
          <w:szCs w:val="18"/>
          <w:color w:val="auto"/>
        </w:rPr>
        <w:t>. THE OBLIGATIONS OF THE GUARANTORS HEREUNDER SHALL BE JOINT AND SEVERAL, AND, ACCORDINGLY, EACH GUARANTOR CONFIRMS THAT IT IS LIABLE FOR THE FULL AMOUNT OF THE “GUARANTIED OBLIGATIONS” AND ALL OF THE OBLIGATIONS AND LIABILITIES OF EACH OF THE OTHER GUARANTORS HEREUNDER.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2" w:name="page163"/>
    <w:bookmarkEnd w:id="162"/>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Guaranty may not be amended except in writing signed by the DIP Agent (acting at the written direction of the Required Twin Lenders) and each Guarantor, subject to Section 8(e) of the Credit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All payments to be made by any Guarantor pursuant to this Guaranty shall be made in Dollars, in immediately available funds to the DIP Agent’s account designated for such purpose, not later than 12:00 p.m. Eastern time, on the date one Business Day after demand therefor.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Except as otherwise permitted pursuant to Section 8(o) of the Credit Agreement, all notices, requests and other communications hereunder shall be in writing (including facsimile transmission or similar writing) and shall be given (a) to each Guarantor at its address set forth below its signature hereto, (b) to the DIP Agent or any other Guarantied Party at its address for notices provided for in the Credit Agreement, or (c) as to each such party at such other address as such party shall designate in a written notice to the other parties. Each such notice, request or other communication shall be effective (i) if mailed, when received; (ii) if telecopied, when transmitted; (iii) if hand delivered, when delivered; or (iv) if delivered in accordance with Section 8(o) of the Credit Agreement, to the extent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notice of a change of address for notices shall not be effective until received.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of this Guaranty shall be invalid, illegal or unenforceable in any jurisdiction, the validity, legality and enforceability of the remaining provisions shall not in any way be affected or impaired thereby.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used in this Guaranty are for convenience only and shall not affect the construction of this Guaranty.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Trustees, Etc</w:t>
      </w:r>
      <w:r>
        <w:rPr>
          <w:rFonts w:ascii="Times New Roman" w:cs="Times New Roman" w:eastAsia="Times New Roman" w:hAnsi="Times New Roman"/>
          <w:sz w:val="18"/>
          <w:szCs w:val="18"/>
          <w:color w:val="auto"/>
        </w:rPr>
        <w:t>. Not Liable.</w:t>
      </w:r>
    </w:p>
    <w:p>
      <w:pPr>
        <w:spacing w:after="0" w:line="225" w:lineRule="exact"/>
        <w:rPr>
          <w:sz w:val="20"/>
          <w:szCs w:val="20"/>
          <w:color w:val="auto"/>
        </w:rPr>
      </w:pPr>
    </w:p>
    <w:p>
      <w:pPr>
        <w:jc w:val="both"/>
        <w:ind w:left="340" w:firstLine="648"/>
        <w:spacing w:after="0" w:line="256" w:lineRule="auto"/>
        <w:rPr>
          <w:sz w:val="20"/>
          <w:szCs w:val="20"/>
          <w:color w:val="auto"/>
        </w:rPr>
      </w:pPr>
      <w:r>
        <w:rPr>
          <w:rFonts w:ascii="Times New Roman" w:cs="Times New Roman" w:eastAsia="Times New Roman" w:hAnsi="Times New Roman"/>
          <w:sz w:val="18"/>
          <w:szCs w:val="18"/>
          <w:color w:val="auto"/>
        </w:rPr>
        <w:t>IN THE CASE OF ANY GUARANTOR THAT IS A TRUST, NO TRUSTEE, OFFICER, SHAREHOLDER, EMPLOYEE OR AGENT OF SUCH GUARANTOR SHALL BE HELD TO ANY PERSONAL LIABILITY, JOINTLY OR SEVERALLY, FOR ANY OBLIGATION OF, OR CLAIM AGAINST, SUCH GUARANTOR. ALL PERSONS DEALING WITH SUCH GUARANTOR, IN ANY WAY, SHALL LOOK ONLY TO THE ASSETS OF SUCH GUARANTOR FOR THE PAYMENT OF ANY SUM OR THE PERFORMANCE OF ANY OBLIGATION OWING BY SUCH GUARANTOR HEREUNDER. THE PROVISIONS OF THIS SECTION SHALL NOT LIMIT ANY OBLIGATIONS OF ANY TWIN DIP LOAN PARTY.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Limitation of Liability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the DIP Agent nor any other Guarantied Party, nor any affiliate, officer, director, employee, attorney, or agent of the DIP Agent or any other Guarantied Party, shall have any liability with respect to, and each Guarantor hereby waives, releases, and agrees not to sue any of them upon, any claim for any special, indirect, incidental, or consequential damages suffered or incurred by a Guarantor in connection with, arising out of, or in any way related to, this Guaranty or any of the other DIP Loan Documents, or any of the transactions contemplated by this Guaranty, the Credit Agreement or any of the other DIP Loan Documents. Each Guarantor hereby waives, releases, and agrees not to sue the DIP Agent or any other Guarantied Party or any of the DIP Agent’s or any other Guarantied Party’s affiliates, officers, directors, employees, attorneys, or agents for punitive damages in respect of any claim in connection with, arising out of, or in any way related to, this Guaranty, the Credit Agreement or any of the other DIP Loan Documents, or any of the transactions contemplated by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3" w:name="page164"/>
    <w:bookmarkEnd w:id="163"/>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30. </w:t>
      </w:r>
      <w:r>
        <w:rPr>
          <w:rFonts w:ascii="Times New Roman" w:cs="Times New Roman" w:eastAsia="Times New Roman" w:hAnsi="Times New Roman"/>
          <w:sz w:val="18"/>
          <w:szCs w:val="18"/>
          <w:u w:val="single" w:color="auto"/>
          <w:color w:val="auto"/>
        </w:rPr>
        <w:t>Electronic Delivery of Certain Information</w:t>
      </w:r>
      <w:r>
        <w:rPr>
          <w:rFonts w:ascii="Times New Roman" w:cs="Times New Roman" w:eastAsia="Times New Roman" w:hAnsi="Times New Roman"/>
          <w:sz w:val="18"/>
          <w:szCs w:val="18"/>
          <w:color w:val="auto"/>
        </w:rPr>
        <w:t>. Each Guarantor acknowledges and agrees that information regarding the Guarantor may be delivered electronically pursuant to Section 8(o) of the Credit Agreement.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DIP Order</w:t>
      </w:r>
      <w:r>
        <w:rPr>
          <w:rFonts w:ascii="Times New Roman" w:cs="Times New Roman" w:eastAsia="Times New Roman" w:hAnsi="Times New Roman"/>
          <w:sz w:val="18"/>
          <w:szCs w:val="18"/>
          <w:color w:val="auto"/>
        </w:rPr>
        <w:t>. Notwithstanding anything to the contrary contained in this Guaranty the rights granted pursuant to this Guaranty or any other DIP Loan Document shall be as set forth in, and subject to the terms and conditions of (and the exercise of any right or remedy by the DIP Agent (acting at the written direction of the Required Twin Lenders) hereunder or thereunder shall be subject to the terms and conditions of), the DIP Order. In the event of any conflict between this Guaranty or any other DIP Loan Document and the DIP Order, the DIP Order shall control, and no right, power, or remedy granted to the DIP Agent hereunder or under any other DIP Loan Document shall be exercised by the DIP Agent, no direction shall be given by the Required Twin Lenders to the DIP Agent in contravention of the DIP Order, and the Guarantors shall not be required to undertake any obligation, make any agreement or take any action that is prohibited by the terms of the DIP Order.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 For the purposes of this Guaranty:</w:t>
      </w:r>
    </w:p>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means any of the following: (i) a voluntary or involuntary case concerning any Guarantor shall be commenced under the Bankruptcy Code of 1978, as amended; (ii) a custodian (as defined in such Bankruptcy Code or any other applicable bankruptcy laws) is appointed for, or takes charge of, all or any substantial part of the property of any Guarantor; (iii) any other proceeding under any applicable laws, domestic or foreign, relating to bankruptcy, insolvency, reorganization, winding-up or composition for adjustment of debts, whether now or hereafter in effect, is commenced relating to any Guarantor;</w:t>
      </w:r>
    </w:p>
    <w:p>
      <w:pPr>
        <w:spacing w:after="0" w:line="3" w:lineRule="exact"/>
        <w:rPr>
          <w:sz w:val="20"/>
          <w:szCs w:val="20"/>
          <w:color w:val="auto"/>
        </w:rPr>
      </w:pPr>
    </w:p>
    <w:p>
      <w:pPr>
        <w:jc w:val="both"/>
        <w:ind w:firstLine="8"/>
        <w:spacing w:after="0" w:line="252" w:lineRule="auto"/>
        <w:tabs>
          <w:tab w:leader="none" w:pos="321"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suit or other proceeding under any applicable laws, domestic or foreign, involving an Avoidance Provision is commenced relating to any Guarantor; (v) any Guarantor is determined or adjudicated to be insolvent or bankrupt; (vi) any order of relief or other order approving any such case or proceeding is entered by a court of competent jurisdiction; (vii) any Guarantor makes a general assignment for the benefit of creditors; (viii) any Guarantor shall fail to pay, or shall state that it is unable to pay, or shall be unable to pay, its debts generally as they become due; (ix) any Guarantor shall call a meeting of its creditors with a view to arranging a composition or adjustment of its debts; (x) any Guarantor shall by any act or failure to act indicate its consent to, approval of or acquiescence in any of the foregoing; or (xi) any corporate action shall be taken by any Guarantor for the purpose of effecting any of the foregoing.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DIP Agent</w:t>
      </w:r>
      <w:r>
        <w:rPr>
          <w:rFonts w:ascii="Times New Roman" w:cs="Times New Roman" w:eastAsia="Times New Roman" w:hAnsi="Times New Roman"/>
          <w:sz w:val="18"/>
          <w:szCs w:val="18"/>
          <w:color w:val="auto"/>
        </w:rPr>
        <w:t>. The DIP Agent is entering into this Guaranty solely in its capacity as DIP Agent under the Credit Agreement. All rights, privileges, protections and immunities (including, without limitation, the right to indemnification) in favor of the DIP Agent under the Order, the Credit Agreement and the other DIP Loan Documents shall be applicable to the DIP Agent under this Guaranty. It is understood that any reference to the DIP Agent taking any action, making any determinations, requests, directions, consents or elections, deeming any action or document reasonable, appropriate or satisfactory, exercising discretion, or exercising any rights or duties under this Guaranty shall be pursuant to written direction from the Required Twin Lenders.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color w:val="auto"/>
        </w:rPr>
        <w:t>IN WITNESS WHEREOF, each Guarantor has duly executed and delivered this Guaranty as of the date and year first written above.</w:t>
      </w:r>
    </w:p>
    <w:p>
      <w:pPr>
        <w:sectPr>
          <w:pgSz w:w="11900" w:h="16838" w:orient="portrait"/>
          <w:cols w:equalWidth="0" w:num="1">
            <w:col w:w="10139"/>
          </w:cols>
          <w:pgMar w:left="320" w:top="661" w:right="1440" w:bottom="1440" w:gutter="0" w:footer="0" w:header="0"/>
        </w:sectPr>
      </w:pP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right"/>
        <w:ind w:right="28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blocks to be inserted</w:t>
      </w:r>
      <w:r>
        <w:rPr>
          <w:rFonts w:ascii="Times New Roman" w:cs="Times New Roman" w:eastAsia="Times New Roman" w:hAnsi="Times New Roman"/>
          <w:sz w:val="18"/>
          <w:szCs w:val="18"/>
          <w:color w:val="auto"/>
        </w:rPr>
        <w:t>] Address for</w:t>
      </w:r>
    </w:p>
    <w:p>
      <w:pPr>
        <w:spacing w:after="0" w:line="2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Notices for all Guarantors: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[Address line 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[Address line 2] Attention: [ ]</w:t>
      </w: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Telecopy Number:</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7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Telephone Number:</w:t>
            </w:r>
          </w:p>
        </w:tc>
        <w:tc>
          <w:tcPr>
            <w:tcW w:w="3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[Signature Page to Twin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type w:val="continuous"/>
        </w:sectPr>
      </w:pPr>
    </w:p>
    <w:bookmarkStart w:id="165" w:name="page166"/>
    <w:bookmarkEnd w:id="165"/>
    <w:p>
      <w:pPr>
        <w:jc w:val="center"/>
        <w:ind w:right="4519"/>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7" w:lineRule="exact"/>
        <w:rPr>
          <w:sz w:val="20"/>
          <w:szCs w:val="20"/>
          <w:color w:val="auto"/>
        </w:rPr>
      </w:pPr>
    </w:p>
    <w:p>
      <w:pPr>
        <w:jc w:val="center"/>
        <w:ind w:right="4519"/>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jc w:val="center"/>
        <w:ind w:right="4519"/>
        <w:spacing w:after="0"/>
        <w:rPr>
          <w:sz w:val="20"/>
          <w:szCs w:val="20"/>
          <w:color w:val="auto"/>
        </w:rPr>
      </w:pPr>
      <w:r>
        <w:rPr>
          <w:rFonts w:ascii="Times New Roman" w:cs="Times New Roman" w:eastAsia="Times New Roman" w:hAnsi="Times New Roman"/>
          <w:sz w:val="18"/>
          <w:szCs w:val="18"/>
          <w:color w:val="auto"/>
        </w:rPr>
        <w:t>DIP AGENT</w:t>
      </w:r>
    </w:p>
    <w:p>
      <w:pPr>
        <w:spacing w:after="0" w:line="22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UMB BANK, N.A., as DIP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32061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2" w:lineRule="exact"/>
        <w:rPr>
          <w:sz w:val="20"/>
          <w:szCs w:val="20"/>
          <w:color w:val="auto"/>
        </w:rPr>
      </w:pPr>
    </w:p>
    <w:p>
      <w:pPr>
        <w:jc w:val="right"/>
        <w:ind w:right="3259"/>
        <w:spacing w:after="0"/>
        <w:rPr>
          <w:sz w:val="20"/>
          <w:szCs w:val="20"/>
          <w:color w:val="auto"/>
        </w:rPr>
      </w:pPr>
      <w:r>
        <w:rPr>
          <w:rFonts w:ascii="Times New Roman" w:cs="Times New Roman" w:eastAsia="Times New Roman" w:hAnsi="Times New Roman"/>
          <w:sz w:val="18"/>
          <w:szCs w:val="18"/>
          <w:color w:val="auto"/>
        </w:rPr>
        <w:t>[Signature Page to Twin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8"/>
          <w:szCs w:val="18"/>
          <w:color w:val="auto"/>
        </w:rPr>
        <w:t>ANNEX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ACCESSION AGREEMENT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ACCESSION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 executed and delivered by , a (the “</w:t>
      </w:r>
      <w:r>
        <w:rPr>
          <w:rFonts w:ascii="Times New Roman" w:cs="Times New Roman" w:eastAsia="Times New Roman" w:hAnsi="Times New Roman"/>
          <w:sz w:val="18"/>
          <w:szCs w:val="18"/>
          <w:u w:val="single" w:color="auto"/>
          <w:color w:val="auto"/>
        </w:rPr>
        <w:t>New Guarantor</w:t>
      </w:r>
      <w:r>
        <w:rPr>
          <w:rFonts w:ascii="Times New Roman" w:cs="Times New Roman" w:eastAsia="Times New Roman" w:hAnsi="Times New Roman"/>
          <w:sz w:val="18"/>
          <w:szCs w:val="18"/>
          <w:color w:val="auto"/>
        </w:rPr>
        <w:t>”) in favor of UMB BANK, N.A., in its capacity as administrative agent and collateral agent for the Twin DIP Lenders (in such capacities, the “</w:t>
      </w:r>
      <w:r>
        <w:rPr>
          <w:rFonts w:ascii="Times New Roman" w:cs="Times New Roman" w:eastAsia="Times New Roman" w:hAnsi="Times New Roman"/>
          <w:sz w:val="18"/>
          <w:szCs w:val="18"/>
          <w:u w:val="single" w:color="auto"/>
          <w:color w:val="auto"/>
        </w:rPr>
        <w:t>DIP Agent</w:t>
      </w:r>
      <w:r>
        <w:rPr>
          <w:rFonts w:ascii="Times New Roman" w:cs="Times New Roman" w:eastAsia="Times New Roman" w:hAnsi="Times New Roman"/>
          <w:sz w:val="18"/>
          <w:szCs w:val="18"/>
          <w:color w:val="auto"/>
        </w:rPr>
        <w:t>”) under that certain Debtor-in-</w:t>
      </w:r>
    </w:p>
    <w:p>
      <w:pPr>
        <w:jc w:val="both"/>
        <w:spacing w:after="0" w:line="252" w:lineRule="auto"/>
        <w:rPr>
          <w:sz w:val="20"/>
          <w:szCs w:val="20"/>
          <w:color w:val="auto"/>
        </w:rPr>
      </w:pPr>
      <w:r>
        <w:rPr>
          <w:rFonts w:ascii="Times New Roman" w:cs="Times New Roman" w:eastAsia="Times New Roman" w:hAnsi="Times New Roman"/>
          <w:sz w:val="18"/>
          <w:szCs w:val="18"/>
          <w:color w:val="auto"/>
        </w:rPr>
        <w:t>Possession Credit Agreement, dated as of [ ], 2026 (as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xml:space="preserve">”), by and among ,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TWIN HOSPITALITY I, LLC, a Delaware limited liability company and a debtor and debtor-in-possession under Chapter 11 of the Bankruptcy Code (the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the Twin DIP Lenders (as defined therein), the DIP Agent, and the other parties thereto, for its benefit and the benefit of the Twin DIP Lenders and the other Twin Secured Parties (the DIP Agent, the Twin DIP Lenders and the other Twin Secured Parties, each individually a “</w:t>
      </w:r>
      <w:r>
        <w:rPr>
          <w:rFonts w:ascii="Times New Roman" w:cs="Times New Roman" w:eastAsia="Times New Roman" w:hAnsi="Times New Roman"/>
          <w:sz w:val="18"/>
          <w:szCs w:val="18"/>
          <w:u w:val="single" w:color="auto"/>
          <w:color w:val="auto"/>
        </w:rPr>
        <w:t>Guarantied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Guarantied Parties</w:t>
      </w:r>
      <w:r>
        <w:rPr>
          <w:rFonts w:ascii="Times New Roman" w:cs="Times New Roman" w:eastAsia="Times New Roman" w:hAnsi="Times New Roman"/>
          <w:sz w:val="18"/>
          <w:szCs w:val="18"/>
          <w:color w:val="auto"/>
        </w:rPr>
        <w:t>”). Capitalized terms used and not otherwise defined herein shall have their respective meanings given to such terms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1969135</wp:posOffset>
            </wp:positionH>
            <wp:positionV relativeFrom="paragraph">
              <wp:posOffset>-716280</wp:posOffset>
            </wp:positionV>
            <wp:extent cx="509587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095875" cy="8255"/>
                    </a:xfrm>
                    <a:prstGeom prst="rect">
                      <a:avLst/>
                    </a:prstGeom>
                    <a:noFill/>
                  </pic:spPr>
                </pic:pic>
              </a:graphicData>
            </a:graphic>
          </wp:anchor>
        </w:drawing>
      </w:r>
    </w:p>
    <w:p>
      <w:pPr>
        <w:spacing w:after="0" w:line="3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pursuant to the Credit Agreement, the Guarantied Parties have agreed to make available to the Borrower certain financial accommodations on the terms and conditions set forth in the Credit Agreement and subject to the DIP Order;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WHEREAS, the New Guarantor is owed or controlled by the Borrower;</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WHEREAS, the Borrower, the New Guarantor and the existing Guarantors of the Borrower, though separate legal entities, are mutually dependent on each other in the conduct of their respective businesses as an integrated operation and have determined it to be in their mutual best interests to obtain financing from the Guarantied Parties through their collective efforts;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the New Guarantor acknowledges that it will receive direct and indirect benefits from the Guarantied Parties making and maintaining such financial accommodations with the Borrower under the Credit Agreement and, accordingly, the New Guarantor is willing to guarantee the Borrower’s obligations to the Guarantied Parties on the terms and conditions contained herein; 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New Guarantor’s execution and delivery of this Agreement is a condition to the Guarantied Parties continuing to make such financial accommodations to the Borrower.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the receipt and sufficiency of which are hereby acknowledged by the New Guarantor, the New Guarantor agrees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  Accession  to</w:t>
            </w:r>
          </w:p>
        </w:tc>
        <w:tc>
          <w:tcPr>
            <w:tcW w:w="9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Guaranty.  The  New  Guarantor  hereby  agrees  that  it  is  a  “Guarantor”  under  the  Guaranty,  dated  as  of</w:t>
            </w:r>
          </w:p>
        </w:tc>
      </w:tr>
      <w:tr>
        <w:trPr>
          <w:trHeight w:val="196"/>
        </w:trPr>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54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2026 (as amended, restated or otherwise modified from time to time, the</w:t>
            </w:r>
          </w:p>
        </w:tc>
      </w:tr>
    </w:tbl>
    <w:p>
      <w:pPr>
        <w:spacing w:after="0" w:line="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made by the Guarantors party thereto in favor of the DIP Agent, for its benefit and the benefit of the other Guarantied Parties, and assumes all obligations of a “Guarantor” thereunder, all as if the New Guarantor had been an original signatory to the Guaranty. Without limiting the generality of the foregoing, the New Guarantor hereby:</w:t>
      </w:r>
    </w:p>
    <w:p>
      <w:pPr>
        <w:spacing w:after="0" w:line="176" w:lineRule="exact"/>
        <w:rPr>
          <w:sz w:val="20"/>
          <w:szCs w:val="20"/>
          <w:color w:val="auto"/>
        </w:rPr>
      </w:pPr>
    </w:p>
    <w:p>
      <w:pPr>
        <w:ind w:left="680" w:hanging="294"/>
        <w:spacing w:after="0" w:line="282" w:lineRule="auto"/>
        <w:tabs>
          <w:tab w:leader="none" w:pos="6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absolutely, irrevocably and unconditionally guarantees the due and punctual payment and performance when due, whether at stated maturity, by acceleration or otherwise, of all Guarantied Obligations (as defined in the Guaranty);</w:t>
      </w:r>
    </w:p>
    <w:p>
      <w:pPr>
        <w:spacing w:after="0" w:line="161" w:lineRule="exact"/>
        <w:rPr>
          <w:rFonts w:ascii="Times New Roman" w:cs="Times New Roman" w:eastAsia="Times New Roman" w:hAnsi="Times New Roman"/>
          <w:sz w:val="18"/>
          <w:szCs w:val="18"/>
          <w:color w:val="auto"/>
        </w:rPr>
      </w:pPr>
    </w:p>
    <w:p>
      <w:pPr>
        <w:ind w:left="680" w:hanging="294"/>
        <w:spacing w:after="0" w:line="282" w:lineRule="auto"/>
        <w:tabs>
          <w:tab w:leader="none" w:pos="6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to the DIP Agent and the other Guarantied Parties as of the date hereof each of the representations and warranties contained in Section 5 of the Guaranty and agrees to be bound by each of the covenants contained in Section 6 of the Guaranty; and</w:t>
      </w:r>
    </w:p>
    <w:p>
      <w:pPr>
        <w:spacing w:after="0" w:line="161" w:lineRule="exact"/>
        <w:rPr>
          <w:rFonts w:ascii="Times New Roman" w:cs="Times New Roman" w:eastAsia="Times New Roman" w:hAnsi="Times New Roman"/>
          <w:sz w:val="18"/>
          <w:szCs w:val="18"/>
          <w:color w:val="auto"/>
        </w:rPr>
      </w:pPr>
    </w:p>
    <w:p>
      <w:pPr>
        <w:ind w:left="680" w:hanging="294"/>
        <w:spacing w:after="0"/>
        <w:tabs>
          <w:tab w:leader="none" w:pos="6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and agrees to each provision set forth in the Guaranty.</w:t>
      </w:r>
    </w:p>
    <w:p>
      <w:pPr>
        <w:spacing w:after="0" w:line="225"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AND ENFORCED IN ACCORDANCE WITH, THE LAWS OF THE STATE OF NEW YORK, AND, TO THE EXTENT APPLICABLE, THE BANKRUPTCY CODE, APPLICABLE TO CONTRACTS EXECUTED, AND TO BE FULLY PERFORMED, IN SUCH STATE.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on Next Page]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7" w:name="page168"/>
    <w:bookmarkEnd w:id="167"/>
    <w:p>
      <w:pPr>
        <w:spacing w:after="0" w:line="282" w:lineRule="auto"/>
        <w:rPr>
          <w:sz w:val="20"/>
          <w:szCs w:val="20"/>
          <w:color w:val="auto"/>
        </w:rPr>
      </w:pPr>
      <w:r>
        <w:rPr>
          <w:rFonts w:ascii="Times New Roman" w:cs="Times New Roman" w:eastAsia="Times New Roman" w:hAnsi="Times New Roman"/>
          <w:sz w:val="18"/>
          <w:szCs w:val="18"/>
          <w:color w:val="auto"/>
        </w:rPr>
        <w:t>IN WITNESS WHEREOF, the New Guarantor has caused this Accession Agreement to be duly executed and delivered under seal by its duly authorized officers as of the date first written above.</w:t>
      </w:r>
    </w:p>
    <w:p>
      <w:pPr>
        <w:spacing w:after="0" w:line="16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[NEW GUARANTOR]</w:t>
      </w:r>
    </w:p>
    <w:p>
      <w:pPr>
        <w:spacing w:after="0" w:line="2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17145</wp:posOffset>
            </wp:positionV>
            <wp:extent cx="331724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-121920</wp:posOffset>
            </wp:positionV>
            <wp:extent cx="33172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14"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(CORPORATE SEAL)</w:t>
      </w:r>
    </w:p>
    <w:p>
      <w:pPr>
        <w:spacing w:after="0" w:line="225"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[Address line 1]</w:t>
      </w:r>
    </w:p>
    <w:p>
      <w:pPr>
        <w:sectPr>
          <w:pgSz w:w="11900" w:h="16838" w:orient="portrait"/>
          <w:cols w:equalWidth="0" w:num="1">
            <w:col w:w="11000"/>
          </w:cols>
          <w:pgMar w:left="320" w:top="661" w:right="579" w:bottom="1440" w:gutter="0" w:footer="0" w:header="0"/>
        </w:sectPr>
      </w:pP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[Address line 2] Attention: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ectPr>
          <w:pgSz w:w="11900" w:h="16838" w:orient="portrait"/>
          <w:cols w:equalWidth="0" w:num="2">
            <w:col w:w="7660" w:space="400"/>
            <w:col w:w="2940"/>
          </w:cols>
          <w:pgMar w:left="320" w:top="661" w:right="579" w:bottom="1440" w:gutter="0" w:footer="0" w:header="0"/>
          <w:type w:val="continuous"/>
        </w:sectPr>
      </w:pPr>
    </w:p>
    <w:p>
      <w:pPr>
        <w:ind w:left="5620"/>
        <w:spacing w:after="0"/>
        <w:tabs>
          <w:tab w:leader="none" w:pos="7640" w:val="left"/>
        </w:tabs>
        <w:rPr>
          <w:sz w:val="20"/>
          <w:szCs w:val="20"/>
          <w:color w:val="auto"/>
        </w:rPr>
      </w:pPr>
      <w:r>
        <w:rPr>
          <w:rFonts w:ascii="Times New Roman" w:cs="Times New Roman" w:eastAsia="Times New Roman" w:hAnsi="Times New Roman"/>
          <w:sz w:val="18"/>
          <w:szCs w:val="18"/>
          <w:color w:val="auto"/>
        </w:rPr>
        <w:t>Telecopy Number: [</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1">
            <w:col w:w="11000"/>
          </w:cols>
          <w:pgMar w:left="320" w:top="661" w:right="579" w:bottom="1440" w:gutter="0" w:footer="0" w:header="0"/>
          <w:type w:val="continuous"/>
        </w:sectPr>
      </w:pP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Telephone Number: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7160" w:space="580"/>
            <w:col w:w="3260"/>
          </w:cols>
          <w:pgMar w:left="320" w:top="661" w:right="579" w:bottom="1440" w:gutter="0" w:footer="0" w:header="0"/>
          <w:type w:val="continuous"/>
        </w:sectPr>
      </w:pPr>
    </w:p>
    <w:p>
      <w:pPr>
        <w:spacing w:after="0" w:line="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00"/>
          </w:cols>
          <w:pgMar w:left="320" w:top="661" w:right="579" w:bottom="1440" w:gutter="0" w:footer="0" w:header="0"/>
          <w:type w:val="continuous"/>
        </w:sectPr>
      </w:pPr>
    </w:p>
    <w:bookmarkStart w:id="168" w:name="page169"/>
    <w:bookmarkEnd w:id="16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ASSIGNMENT AND ASSUMPTION AGREEMENT</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Assignment and Assumption Agreement (the “</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is dated as of the Effective Date set forth below and is entered into by and between each Assignor identified in item 1 below (each, an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each Assignee identified in item 2 below (each, an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[It</w:t>
      </w:r>
    </w:p>
    <w:p>
      <w:pPr>
        <w:jc w:val="both"/>
        <w:spacing w:after="0" w:line="227" w:lineRule="auto"/>
        <w:rPr>
          <w:sz w:val="20"/>
          <w:szCs w:val="20"/>
          <w:color w:val="auto"/>
        </w:rPr>
      </w:pPr>
      <w:r>
        <w:rPr>
          <w:rFonts w:ascii="Times New Roman" w:cs="Times New Roman" w:eastAsia="Times New Roman" w:hAnsi="Times New Roman"/>
          <w:sz w:val="18"/>
          <w:szCs w:val="18"/>
          <w:color w:val="auto"/>
        </w:rPr>
        <w:t>is understood and agreed that the rights and obligations of [the Assignors][the Assignees] hereunder are several and not joint.]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Capitalized terms used but not defined herein shall have the meanings given to them in the Credit Agreement identified below (as amended,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receipt of a copy of which is hereby acknowledged by each Assignee. The Standard Terms and Conditions set forth in Annex 1 attached hereto are hereby agreed to and incorporated herein by reference and made a part of this Assignment and Assumption as if set forth herein in full.</w:t>
      </w:r>
    </w:p>
    <w:p>
      <w:pPr>
        <w:spacing w:after="0" w:line="19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an agreed consideration, each Assignor hereby irrevocably sells and assigns to the respective Assignees, and each Assignee hereby irrevocably purchases and assumes from the respective Assignors, subject to and in accordance with the Standard Terms and Conditions and the Credit Agreement, as of the Effective Date inserted by the DIP Agent as contemplated below (i) all of the respective Assignors’ rights and obligations in their respective capacities as Lenders under the Credit Agreement and any other documents or instruments delivered pursuant thereto to the extent related to the amount identified below of all of such outstanding rights and obligations of the respective Assignors under the respective facilities identified below, and (ii) to the extent permitted to be assigned under applicable law, all claims, suits, causes of action and any other right of any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any Assignor to any Assignee pursuant to clauses (i) and (ii) above being referred to herein collectively as an “</w:t>
      </w:r>
      <w:r>
        <w:rPr>
          <w:rFonts w:ascii="Times New Roman" w:cs="Times New Roman" w:eastAsia="Times New Roman" w:hAnsi="Times New Roman"/>
          <w:sz w:val="18"/>
          <w:szCs w:val="18"/>
          <w:u w:val="single" w:color="auto"/>
          <w:color w:val="auto"/>
        </w:rPr>
        <w:t>Assigned Interest</w:t>
      </w:r>
      <w:r>
        <w:rPr>
          <w:rFonts w:ascii="Times New Roman" w:cs="Times New Roman" w:eastAsia="Times New Roman" w:hAnsi="Times New Roman"/>
          <w:sz w:val="18"/>
          <w:szCs w:val="18"/>
          <w:color w:val="auto"/>
        </w:rPr>
        <w:t>”). Each such sale and assignment is without recourse to any Assignor and, except as expressly provided in this Assignment and Assumption, without representation or warranty by any Assignor.</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Assignor[s]:</w:t>
            </w:r>
          </w:p>
        </w:tc>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 set forth in paragraph 6 below.</w:t>
            </w:r>
          </w:p>
        </w:tc>
      </w:tr>
      <w:tr>
        <w:trPr>
          <w:trHeight w:val="21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Assignee[s]:</w:t>
            </w:r>
          </w:p>
        </w:tc>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 set forth in paragraph 6 below.</w:t>
            </w:r>
          </w:p>
        </w:tc>
      </w:tr>
      <w:tr>
        <w:trPr>
          <w:trHeight w:val="216"/>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 Borrower(s):</w:t>
            </w:r>
          </w:p>
        </w:tc>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FAT BRANDS ROYALTY I, LLC, FAT BRANDS FAZOLI’S NATIVE I, LLC, FAT BRANDS GFG ROYALTY I, LLC, as</w:t>
            </w:r>
          </w:p>
        </w:tc>
      </w:tr>
      <w:tr>
        <w:trPr>
          <w:trHeight w:val="234"/>
        </w:trPr>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FBG DIP Borrowers, TWIN HOSPITALITY I, LLC as TWIN DIP Borrower</w:t>
            </w:r>
          </w:p>
        </w:tc>
      </w:tr>
      <w:tr>
        <w:trPr>
          <w:trHeight w:val="43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DIP Agent:</w:t>
            </w:r>
          </w:p>
        </w:tc>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UMB BANK, N.A., as the administrative agent and collateral agent under the Credit Agreement</w:t>
            </w:r>
          </w:p>
        </w:tc>
      </w:tr>
      <w:tr>
        <w:trPr>
          <w:trHeight w:val="41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The Debtor-in-Possession Credit Agreement dated as of March 23, 2026, among, </w:t>
            </w:r>
            <w:r>
              <w:rPr>
                <w:rFonts w:ascii="Times New Roman" w:cs="Times New Roman" w:eastAsia="Times New Roman" w:hAnsi="Times New Roman"/>
                <w:sz w:val="18"/>
                <w:szCs w:val="18"/>
                <w:i w:val="1"/>
                <w:iCs w:val="1"/>
                <w:color w:val="auto"/>
              </w:rPr>
              <w:t>inter alios</w:t>
            </w:r>
            <w:r>
              <w:rPr>
                <w:rFonts w:ascii="Times New Roman" w:cs="Times New Roman" w:eastAsia="Times New Roman" w:hAnsi="Times New Roman"/>
                <w:sz w:val="18"/>
                <w:szCs w:val="18"/>
                <w:color w:val="auto"/>
              </w:rPr>
              <w:t>, FAT BRANDS ROYALTY I,</w:t>
            </w:r>
          </w:p>
        </w:tc>
      </w:tr>
      <w:tr>
        <w:trPr>
          <w:trHeight w:val="216"/>
        </w:trPr>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LLC, FAT BRANDS FAZOLI’S NATIVE I, LLC, FAT BRANDS GFG ROYALTY I, LLC, as FBG DIP Borrowers, TWIN</w:t>
            </w:r>
          </w:p>
        </w:tc>
      </w:tr>
      <w:tr>
        <w:trPr>
          <w:trHeight w:val="216"/>
        </w:trPr>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HOSPITALITY I, LLC as TWIN DIP Borrower, the DIP Lenders party thereto, UMB Bank, N.A., as DIP Agent, and the other</w:t>
            </w:r>
          </w:p>
        </w:tc>
      </w:tr>
      <w:tr>
        <w:trPr>
          <w:trHeight w:val="234"/>
        </w:trPr>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parties thereto.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5" w:lineRule="exact"/>
        <w:rPr>
          <w:sz w:val="20"/>
          <w:szCs w:val="20"/>
          <w:color w:val="auto"/>
        </w:rPr>
      </w:pPr>
    </w:p>
    <w:p>
      <w:pPr>
        <w:ind w:left="5460" w:right="4800" w:hanging="5452"/>
        <w:spacing w:after="0"/>
        <w:tabs>
          <w:tab w:leader="none" w:pos="119" w:val="left"/>
        </w:tabs>
        <w:numPr>
          <w:ilvl w:val="0"/>
          <w:numId w:val="1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Include bracketed language if there are either multiple Assignors or multiple Assignees. 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9" w:name="page170"/>
    <w:bookmarkEnd w:id="169"/>
    <w:tbl>
      <w:tblPr>
        <w:tblLayout w:type="fixed"/>
        <w:tblInd w:w="10" w:type="dxa"/>
        <w:tblCellMar>
          <w:top w:w="0" w:type="dxa"/>
          <w:left w:w="0" w:type="dxa"/>
          <w:bottom w:w="0" w:type="dxa"/>
          <w:right w:w="0" w:type="dxa"/>
        </w:tblCellMar>
      </w:tblPr>
      <w:tr>
        <w:trPr>
          <w:trHeight w:val="207"/>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Assigned Interest[s]:</w:t>
            </w:r>
          </w:p>
        </w:tc>
        <w:tc>
          <w:tcPr>
            <w:tcW w:w="3180" w:type="dxa"/>
            <w:vAlign w:val="bottom"/>
            <w:gridSpan w:val="11"/>
          </w:tcPr>
          <w:p>
            <w:pPr>
              <w:ind w:left="200"/>
              <w:spacing w:after="0"/>
              <w:rPr>
                <w:sz w:val="20"/>
                <w:szCs w:val="20"/>
                <w:color w:val="auto"/>
              </w:rPr>
            </w:pPr>
            <w:r>
              <w:rPr>
                <w:rFonts w:ascii="Times New Roman" w:cs="Times New Roman" w:eastAsia="Times New Roman" w:hAnsi="Times New Roman"/>
                <w:sz w:val="18"/>
                <w:szCs w:val="18"/>
                <w:color w:val="auto"/>
              </w:rPr>
              <w:t>FBG DIP Facility Assigned Interests</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040" w:type="dxa"/>
            <w:vAlign w:val="bottom"/>
            <w:tcBorders>
              <w:left w:val="single" w:sz="8" w:color="auto"/>
              <w:right w:val="single" w:sz="8" w:color="auto"/>
            </w:tcBorders>
          </w:tcPr>
          <w:p>
            <w:pPr>
              <w:spacing w:after="0"/>
              <w:rPr>
                <w:sz w:val="15"/>
                <w:szCs w:val="15"/>
                <w:color w:val="auto"/>
              </w:rPr>
            </w:pPr>
          </w:p>
        </w:tc>
        <w:tc>
          <w:tcPr>
            <w:tcW w:w="10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center"/>
              <w:ind w:left="50"/>
              <w:spacing w:after="0" w:line="177" w:lineRule="exact"/>
              <w:rPr>
                <w:sz w:val="20"/>
                <w:szCs w:val="20"/>
                <w:color w:val="auto"/>
              </w:rPr>
            </w:pPr>
            <w:r>
              <w:rPr>
                <w:rFonts w:ascii="Times New Roman" w:cs="Times New Roman" w:eastAsia="Times New Roman" w:hAnsi="Times New Roman"/>
                <w:sz w:val="18"/>
                <w:szCs w:val="18"/>
                <w:color w:val="auto"/>
                <w:w w:val="98"/>
              </w:rPr>
              <w:t>Aggregate</w:t>
            </w:r>
          </w:p>
        </w:tc>
        <w:tc>
          <w:tcPr>
            <w:tcW w:w="380" w:type="dxa"/>
            <w:vAlign w:val="bottom"/>
            <w:tcBorders>
              <w:right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Borders>
              <w:right w:val="single" w:sz="8" w:color="auto"/>
            </w:tcBorders>
            <w:gridSpan w:val="2"/>
          </w:tcPr>
          <w:p>
            <w:pPr>
              <w:ind w:left="40"/>
              <w:spacing w:after="0" w:line="177" w:lineRule="exact"/>
              <w:rPr>
                <w:sz w:val="20"/>
                <w:szCs w:val="20"/>
                <w:color w:val="auto"/>
              </w:rPr>
            </w:pPr>
            <w:r>
              <w:rPr>
                <w:rFonts w:ascii="Times New Roman" w:cs="Times New Roman" w:eastAsia="Times New Roman" w:hAnsi="Times New Roman"/>
                <w:sz w:val="18"/>
                <w:szCs w:val="18"/>
                <w:color w:val="auto"/>
              </w:rPr>
              <w:t>Aggregate</w:t>
            </w:r>
          </w:p>
        </w:tc>
        <w:tc>
          <w:tcPr>
            <w:tcW w:w="100" w:type="dxa"/>
            <w:vAlign w:val="bottom"/>
          </w:tcPr>
          <w:p>
            <w:pPr>
              <w:spacing w:after="0"/>
              <w:rPr>
                <w:sz w:val="15"/>
                <w:szCs w:val="15"/>
                <w:color w:val="auto"/>
              </w:rPr>
            </w:pPr>
          </w:p>
        </w:tc>
        <w:tc>
          <w:tcPr>
            <w:tcW w:w="1220" w:type="dxa"/>
            <w:vAlign w:val="bottom"/>
            <w:tcBorders>
              <w:right w:val="single" w:sz="8" w:color="auto"/>
            </w:tcBorders>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Amount of</w:t>
            </w:r>
          </w:p>
        </w:tc>
        <w:tc>
          <w:tcPr>
            <w:tcW w:w="2120" w:type="dxa"/>
            <w:vAlign w:val="bottom"/>
            <w:tcBorders>
              <w:right w:val="single" w:sz="8" w:color="auto"/>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6"/>
              </w:rPr>
              <w:t>Percentage</w:t>
            </w:r>
          </w:p>
        </w:tc>
        <w:tc>
          <w:tcPr>
            <w:tcW w:w="14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40" w:type="dxa"/>
            <w:vAlign w:val="bottom"/>
            <w:tcBorders>
              <w:left w:val="single" w:sz="8" w:color="auto"/>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Amount of</w:t>
            </w:r>
          </w:p>
        </w:tc>
        <w:tc>
          <w:tcPr>
            <w:tcW w:w="38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Amount of</w:t>
            </w:r>
          </w:p>
        </w:tc>
        <w:tc>
          <w:tcPr>
            <w:tcW w:w="100" w:type="dxa"/>
            <w:vAlign w:val="bottom"/>
          </w:tcPr>
          <w:p>
            <w:pPr>
              <w:spacing w:after="0"/>
              <w:rPr>
                <w:sz w:val="20"/>
                <w:szCs w:val="20"/>
                <w:color w:val="auto"/>
              </w:rPr>
            </w:pPr>
          </w:p>
        </w:tc>
        <w:tc>
          <w:tcPr>
            <w:tcW w:w="1220" w:type="dxa"/>
            <w:vAlign w:val="bottom"/>
            <w:tcBorders>
              <w:right w:val="single" w:sz="8" w:color="auto"/>
            </w:tcBorders>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6"/>
              </w:rPr>
              <w:t>FBG Roll-</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Assigned of</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40" w:type="dxa"/>
            <w:vAlign w:val="bottom"/>
            <w:tcBorders>
              <w:left w:val="single" w:sz="8" w:color="auto"/>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7"/>
              </w:rPr>
              <w:t>FBG New</w:t>
            </w:r>
          </w:p>
        </w:tc>
        <w:tc>
          <w:tcPr>
            <w:tcW w:w="38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Borders>
              <w:right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8"/>
                <w:szCs w:val="18"/>
                <w:color w:val="auto"/>
                <w:w w:val="99"/>
              </w:rPr>
              <w:t>Amount of</w:t>
            </w:r>
          </w:p>
        </w:tc>
        <w:tc>
          <w:tcPr>
            <w:tcW w:w="260" w:type="dxa"/>
            <w:vAlign w:val="bottom"/>
          </w:tcPr>
          <w:p>
            <w:pPr>
              <w:spacing w:after="0"/>
              <w:rPr>
                <w:sz w:val="19"/>
                <w:szCs w:val="19"/>
                <w:color w:val="auto"/>
              </w:rPr>
            </w:pPr>
          </w:p>
        </w:tc>
        <w:tc>
          <w:tcPr>
            <w:tcW w:w="1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FBG Roll-</w:t>
            </w:r>
          </w:p>
        </w:tc>
        <w:tc>
          <w:tcPr>
            <w:tcW w:w="100" w:type="dxa"/>
            <w:vAlign w:val="bottom"/>
          </w:tcPr>
          <w:p>
            <w:pPr>
              <w:spacing w:after="0"/>
              <w:rPr>
                <w:sz w:val="19"/>
                <w:szCs w:val="19"/>
                <w:color w:val="auto"/>
              </w:rPr>
            </w:pPr>
          </w:p>
        </w:tc>
        <w:tc>
          <w:tcPr>
            <w:tcW w:w="1220" w:type="dxa"/>
            <w:vAlign w:val="bottom"/>
            <w:tcBorders>
              <w:right w:val="single" w:sz="8" w:color="auto"/>
            </w:tcBorders>
            <w:gridSpan w:val="2"/>
          </w:tcPr>
          <w:p>
            <w:pPr>
              <w:ind w:left="440"/>
              <w:spacing w:after="0"/>
              <w:rPr>
                <w:sz w:val="20"/>
                <w:szCs w:val="20"/>
                <w:color w:val="auto"/>
              </w:rPr>
            </w:pPr>
            <w:r>
              <w:rPr>
                <w:rFonts w:ascii="Times New Roman" w:cs="Times New Roman" w:eastAsia="Times New Roman" w:hAnsi="Times New Roman"/>
                <w:sz w:val="18"/>
                <w:szCs w:val="18"/>
                <w:color w:val="auto"/>
              </w:rPr>
              <w:t>Up</w:t>
            </w: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FBG New</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Amount of FBG</w:t>
            </w:r>
          </w:p>
        </w:tc>
        <w:tc>
          <w:tcPr>
            <w:tcW w:w="0" w:type="dxa"/>
            <w:vAlign w:val="bottom"/>
          </w:tcPr>
          <w:p>
            <w:pPr>
              <w:spacing w:after="0"/>
              <w:rPr>
                <w:sz w:val="1"/>
                <w:szCs w:val="1"/>
                <w:color w:val="auto"/>
              </w:rPr>
            </w:pPr>
          </w:p>
        </w:tc>
      </w:tr>
      <w:tr>
        <w:trPr>
          <w:trHeight w:val="81"/>
        </w:trPr>
        <w:tc>
          <w:tcPr>
            <w:tcW w:w="1040" w:type="dxa"/>
            <w:vAlign w:val="bottom"/>
            <w:tcBorders>
              <w:left w:val="single" w:sz="8" w:color="auto"/>
              <w:right w:val="single" w:sz="8" w:color="auto"/>
            </w:tcBorders>
          </w:tcPr>
          <w:p>
            <w:pPr>
              <w:spacing w:after="0"/>
              <w:rPr>
                <w:sz w:val="7"/>
                <w:szCs w:val="7"/>
                <w:color w:val="auto"/>
              </w:rPr>
            </w:pPr>
          </w:p>
        </w:tc>
        <w:tc>
          <w:tcPr>
            <w:tcW w:w="1020" w:type="dxa"/>
            <w:vAlign w:val="bottom"/>
            <w:tcBorders>
              <w:right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00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Money DIP</w:t>
            </w:r>
          </w:p>
        </w:tc>
        <w:tc>
          <w:tcPr>
            <w:tcW w:w="380" w:type="dxa"/>
            <w:vAlign w:val="bottom"/>
            <w:tcBorders>
              <w:right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tcBorders>
              <w:right w:val="single" w:sz="8" w:color="auto"/>
            </w:tcBorders>
            <w:gridSpan w:val="4"/>
            <w:vMerge w:val="restart"/>
          </w:tcPr>
          <w:p>
            <w:pPr>
              <w:jc w:val="center"/>
              <w:ind w:right="160"/>
              <w:spacing w:after="0"/>
              <w:rPr>
                <w:sz w:val="20"/>
                <w:szCs w:val="20"/>
                <w:color w:val="auto"/>
              </w:rPr>
            </w:pPr>
            <w:r>
              <w:rPr>
                <w:rFonts w:ascii="Times New Roman" w:cs="Times New Roman" w:eastAsia="Times New Roman" w:hAnsi="Times New Roman"/>
                <w:sz w:val="18"/>
                <w:szCs w:val="18"/>
                <w:color w:val="auto"/>
                <w:w w:val="97"/>
              </w:rPr>
              <w:t>FBG New</w:t>
            </w: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Up Loans</w:t>
            </w:r>
          </w:p>
        </w:tc>
        <w:tc>
          <w:tcPr>
            <w:tcW w:w="100" w:type="dxa"/>
            <w:vAlign w:val="bottom"/>
          </w:tcPr>
          <w:p>
            <w:pPr>
              <w:spacing w:after="0"/>
              <w:rPr>
                <w:sz w:val="7"/>
                <w:szCs w:val="7"/>
                <w:color w:val="auto"/>
              </w:rPr>
            </w:pPr>
          </w:p>
        </w:tc>
        <w:tc>
          <w:tcPr>
            <w:tcW w:w="1220" w:type="dxa"/>
            <w:vAlign w:val="bottom"/>
            <w:tcBorders>
              <w:right w:val="single" w:sz="8" w:color="auto"/>
            </w:tcBorders>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7"/>
              </w:rPr>
              <w:t>Financing</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Money DIP</w:t>
            </w:r>
          </w:p>
        </w:tc>
        <w:tc>
          <w:tcPr>
            <w:tcW w:w="14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040" w:type="dxa"/>
            <w:vAlign w:val="bottom"/>
            <w:tcBorders>
              <w:left w:val="single" w:sz="8" w:color="auto"/>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Borders>
              <w:right w:val="single" w:sz="8" w:color="auto"/>
            </w:tcBorders>
            <w:gridSpan w:val="4"/>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Borders>
              <w:right w:val="single" w:sz="8" w:color="auto"/>
            </w:tcBorders>
            <w:gridSpan w:val="2"/>
            <w:vMerge w:val="continue"/>
          </w:tcPr>
          <w:p>
            <w:pPr>
              <w:spacing w:after="0"/>
              <w:rPr>
                <w:sz w:val="13"/>
                <w:szCs w:val="13"/>
                <w:color w:val="auto"/>
              </w:rPr>
            </w:pPr>
          </w:p>
        </w:tc>
        <w:tc>
          <w:tcPr>
            <w:tcW w:w="2120" w:type="dxa"/>
            <w:vAlign w:val="bottom"/>
            <w:tcBorders>
              <w:right w:val="single" w:sz="8" w:color="auto"/>
            </w:tcBorders>
            <w:vMerge w:val="continue"/>
          </w:tcPr>
          <w:p>
            <w:pPr>
              <w:spacing w:after="0"/>
              <w:rPr>
                <w:sz w:val="13"/>
                <w:szCs w:val="13"/>
                <w:color w:val="auto"/>
              </w:rPr>
            </w:pPr>
          </w:p>
        </w:tc>
        <w:tc>
          <w:tcPr>
            <w:tcW w:w="1460" w:type="dxa"/>
            <w:vAlign w:val="bottom"/>
            <w:tcBorders>
              <w:right w:val="single" w:sz="8" w:color="auto"/>
            </w:tcBorders>
            <w:vMerge w:val="restart"/>
          </w:tcPr>
          <w:p>
            <w:pPr>
              <w:jc w:val="center"/>
              <w:spacing w:after="0" w:line="189" w:lineRule="exact"/>
              <w:rPr>
                <w:sz w:val="20"/>
                <w:szCs w:val="20"/>
                <w:color w:val="auto"/>
              </w:rPr>
            </w:pPr>
            <w:r>
              <w:rPr>
                <w:rFonts w:ascii="Times New Roman" w:cs="Times New Roman" w:eastAsia="Times New Roman" w:hAnsi="Times New Roman"/>
                <w:sz w:val="18"/>
                <w:szCs w:val="18"/>
                <w:color w:val="auto"/>
              </w:rPr>
              <w:t>DIP</w:t>
            </w:r>
          </w:p>
        </w:tc>
        <w:tc>
          <w:tcPr>
            <w:tcW w:w="0" w:type="dxa"/>
            <w:vAlign w:val="bottom"/>
          </w:tcPr>
          <w:p>
            <w:pPr>
              <w:spacing w:after="0"/>
              <w:rPr>
                <w:sz w:val="1"/>
                <w:szCs w:val="1"/>
                <w:color w:val="auto"/>
              </w:rPr>
            </w:pPr>
          </w:p>
        </w:tc>
      </w:tr>
      <w:tr>
        <w:trPr>
          <w:trHeight w:val="36"/>
        </w:trPr>
        <w:tc>
          <w:tcPr>
            <w:tcW w:w="1040" w:type="dxa"/>
            <w:vAlign w:val="bottom"/>
            <w:tcBorders>
              <w:left w:val="single" w:sz="8" w:color="auto"/>
              <w:right w:val="single" w:sz="8" w:color="auto"/>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Assignor</w:t>
            </w:r>
          </w:p>
        </w:tc>
        <w:tc>
          <w:tcPr>
            <w:tcW w:w="102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Assignee</w:t>
            </w:r>
          </w:p>
        </w:tc>
        <w:tc>
          <w:tcPr>
            <w:tcW w:w="200" w:type="dxa"/>
            <w:vAlign w:val="bottom"/>
          </w:tcPr>
          <w:p>
            <w:pPr>
              <w:spacing w:after="0"/>
              <w:rPr>
                <w:sz w:val="3"/>
                <w:szCs w:val="3"/>
                <w:color w:val="auto"/>
              </w:rPr>
            </w:pPr>
          </w:p>
        </w:tc>
        <w:tc>
          <w:tcPr>
            <w:tcW w:w="100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w w:val="99"/>
              </w:rPr>
              <w:t>Loans</w:t>
            </w:r>
          </w:p>
        </w:tc>
        <w:tc>
          <w:tcPr>
            <w:tcW w:w="38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gridSpan w:val="6"/>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Money DIP</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right w:val="single" w:sz="8" w:color="auto"/>
            </w:tcBorders>
            <w:gridSpan w:val="2"/>
            <w:vMerge w:val="restart"/>
          </w:tcPr>
          <w:p>
            <w:pPr>
              <w:jc w:val="center"/>
              <w:ind w:left="110"/>
              <w:spacing w:after="0"/>
              <w:rPr>
                <w:sz w:val="20"/>
                <w:szCs w:val="20"/>
                <w:color w:val="auto"/>
              </w:rPr>
            </w:pPr>
            <w:r>
              <w:rPr>
                <w:rFonts w:ascii="Times New Roman" w:cs="Times New Roman" w:eastAsia="Times New Roman" w:hAnsi="Times New Roman"/>
                <w:sz w:val="18"/>
                <w:szCs w:val="18"/>
                <w:color w:val="auto"/>
                <w:w w:val="98"/>
              </w:rPr>
              <w:t>Assigned</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Loans/FBG</w:t>
            </w:r>
          </w:p>
        </w:tc>
        <w:tc>
          <w:tcPr>
            <w:tcW w:w="14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040" w:type="dxa"/>
            <w:vAlign w:val="bottom"/>
            <w:tcBorders>
              <w:left w:val="single" w:sz="8" w:color="auto"/>
              <w:right w:val="single" w:sz="8" w:color="auto"/>
            </w:tcBorders>
            <w:vMerge w:val="continue"/>
          </w:tcPr>
          <w:p>
            <w:pPr>
              <w:spacing w:after="0"/>
              <w:rPr>
                <w:sz w:val="16"/>
                <w:szCs w:val="16"/>
                <w:color w:val="auto"/>
              </w:rPr>
            </w:pPr>
          </w:p>
        </w:tc>
        <w:tc>
          <w:tcPr>
            <w:tcW w:w="1020" w:type="dxa"/>
            <w:vAlign w:val="bottom"/>
            <w:tcBorders>
              <w:right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3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gridSpan w:val="6"/>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right w:val="single" w:sz="8" w:color="auto"/>
            </w:tcBorders>
            <w:gridSpan w:val="2"/>
            <w:vMerge w:val="continue"/>
          </w:tcPr>
          <w:p>
            <w:pPr>
              <w:spacing w:after="0"/>
              <w:rPr>
                <w:sz w:val="16"/>
                <w:szCs w:val="16"/>
                <w:color w:val="auto"/>
              </w:rPr>
            </w:pPr>
          </w:p>
        </w:tc>
        <w:tc>
          <w:tcPr>
            <w:tcW w:w="2120" w:type="dxa"/>
            <w:vAlign w:val="bottom"/>
            <w:tcBorders>
              <w:right w:val="single" w:sz="8" w:color="auto"/>
            </w:tcBorders>
            <w:vMerge w:val="continue"/>
          </w:tcPr>
          <w:p>
            <w:pPr>
              <w:spacing w:after="0"/>
              <w:rPr>
                <w:sz w:val="16"/>
                <w:szCs w:val="16"/>
                <w:color w:val="auto"/>
              </w:rPr>
            </w:pPr>
          </w:p>
        </w:tc>
        <w:tc>
          <w:tcPr>
            <w:tcW w:w="14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7"/>
              </w:rPr>
              <w:t>Commitments</w:t>
            </w:r>
          </w:p>
        </w:tc>
        <w:tc>
          <w:tcPr>
            <w:tcW w:w="0" w:type="dxa"/>
            <w:vAlign w:val="bottom"/>
          </w:tcPr>
          <w:p>
            <w:pPr>
              <w:spacing w:after="0"/>
              <w:rPr>
                <w:sz w:val="1"/>
                <w:szCs w:val="1"/>
                <w:color w:val="auto"/>
              </w:rPr>
            </w:pPr>
          </w:p>
        </w:tc>
      </w:tr>
      <w:tr>
        <w:trPr>
          <w:trHeight w:val="243"/>
        </w:trPr>
        <w:tc>
          <w:tcPr>
            <w:tcW w:w="1040" w:type="dxa"/>
            <w:vAlign w:val="bottom"/>
            <w:tcBorders>
              <w:left w:val="single" w:sz="8" w:color="auto"/>
              <w:right w:val="single" w:sz="8" w:color="auto"/>
            </w:tcBorders>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Borders>
              <w:right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Loans</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Roll-Up</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Assigned</w:t>
            </w:r>
          </w:p>
        </w:tc>
        <w:tc>
          <w:tcPr>
            <w:tcW w:w="0" w:type="dxa"/>
            <w:vAlign w:val="bottom"/>
          </w:tcPr>
          <w:p>
            <w:pPr>
              <w:spacing w:after="0"/>
              <w:rPr>
                <w:sz w:val="1"/>
                <w:szCs w:val="1"/>
                <w:color w:val="auto"/>
              </w:rPr>
            </w:pPr>
          </w:p>
        </w:tc>
      </w:tr>
      <w:tr>
        <w:trPr>
          <w:trHeight w:val="229"/>
        </w:trPr>
        <w:tc>
          <w:tcPr>
            <w:tcW w:w="1040" w:type="dxa"/>
            <w:vAlign w:val="bottom"/>
            <w:tcBorders>
              <w:left w:val="single" w:sz="8" w:color="auto"/>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gridSpan w:val="6"/>
          </w:tcPr>
          <w:p>
            <w:pPr>
              <w:ind w:left="420"/>
              <w:spacing w:after="0"/>
              <w:rPr>
                <w:sz w:val="20"/>
                <w:szCs w:val="20"/>
                <w:color w:val="auto"/>
              </w:rPr>
            </w:pPr>
            <w:r>
              <w:rPr>
                <w:rFonts w:ascii="Times New Roman" w:cs="Times New Roman" w:eastAsia="Times New Roman" w:hAnsi="Times New Roman"/>
                <w:sz w:val="18"/>
                <w:szCs w:val="18"/>
                <w:color w:val="auto"/>
              </w:rPr>
              <w:t>Assigned</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Financing/FBG</w:t>
            </w: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right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DIP</w:t>
            </w:r>
          </w:p>
        </w:tc>
        <w:tc>
          <w:tcPr>
            <w:tcW w:w="1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040" w:type="dxa"/>
            <w:vAlign w:val="bottom"/>
            <w:tcBorders>
              <w:left w:val="single" w:sz="8" w:color="auto"/>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Commitments</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 w:type="dxa"/>
            <w:vAlign w:val="bottom"/>
            <w:tcBorders>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9"/>
          </w:tcPr>
          <w:p>
            <w:pPr>
              <w:ind w:left="540"/>
              <w:spacing w:after="0"/>
              <w:rPr>
                <w:sz w:val="20"/>
                <w:szCs w:val="20"/>
                <w:color w:val="auto"/>
              </w:rPr>
            </w:pPr>
            <w:r>
              <w:rPr>
                <w:rFonts w:ascii="Times New Roman" w:cs="Times New Roman" w:eastAsia="Times New Roman" w:hAnsi="Times New Roman"/>
                <w:sz w:val="18"/>
                <w:szCs w:val="18"/>
                <w:color w:val="auto"/>
              </w:rPr>
              <w:t>Twin DIP Facility Assigned Interests</w:t>
            </w:r>
          </w:p>
        </w:tc>
        <w:tc>
          <w:tcPr>
            <w:tcW w:w="2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1040" w:type="dxa"/>
            <w:vAlign w:val="bottom"/>
            <w:tcBorders>
              <w:left w:val="single" w:sz="8" w:color="auto"/>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Aggregate</w:t>
            </w:r>
          </w:p>
        </w:tc>
        <w:tc>
          <w:tcPr>
            <w:tcW w:w="80" w:type="dxa"/>
            <w:vAlign w:val="bottom"/>
            <w:tcBorders>
              <w:right w:val="single" w:sz="8" w:color="auto"/>
            </w:tcBorders>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Percentage Assigned of</w:t>
            </w:r>
          </w:p>
        </w:tc>
        <w:tc>
          <w:tcPr>
            <w:tcW w:w="1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040" w:type="dxa"/>
            <w:vAlign w:val="bottom"/>
            <w:tcBorders>
              <w:left w:val="single" w:sz="8" w:color="auto"/>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Twin New Money DIP</w:t>
            </w: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80" w:type="dxa"/>
            <w:vAlign w:val="bottom"/>
            <w:tcBorders>
              <w:right w:val="single" w:sz="8" w:color="auto"/>
            </w:tcBorders>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12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auto"/>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Aggregate</w:t>
            </w:r>
          </w:p>
        </w:tc>
        <w:tc>
          <w:tcPr>
            <w:tcW w:w="80" w:type="dxa"/>
            <w:vAlign w:val="bottom"/>
          </w:tcPr>
          <w:p>
            <w:pPr>
              <w:spacing w:after="0"/>
              <w:rPr>
                <w:sz w:val="8"/>
                <w:szCs w:val="8"/>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Loans/Twin Senior Roll-Up</w:t>
            </w: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Twin Senior</w:t>
            </w:r>
          </w:p>
        </w:tc>
        <w:tc>
          <w:tcPr>
            <w:tcW w:w="80" w:type="dxa"/>
            <w:vAlign w:val="bottom"/>
            <w:tcBorders>
              <w:right w:val="single" w:sz="8" w:color="auto"/>
            </w:tcBorders>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10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212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auto"/>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80" w:type="dxa"/>
            <w:vAlign w:val="bottom"/>
          </w:tcPr>
          <w:p>
            <w:pPr>
              <w:spacing w:after="0"/>
              <w:rPr>
                <w:sz w:val="8"/>
                <w:szCs w:val="8"/>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Twin New</w:t>
            </w:r>
          </w:p>
        </w:tc>
        <w:tc>
          <w:tcPr>
            <w:tcW w:w="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102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gridSpan w:val="2"/>
            <w:vMerge w:val="continue"/>
          </w:tcPr>
          <w:p>
            <w:pPr>
              <w:spacing w:after="0"/>
              <w:rPr>
                <w:sz w:val="8"/>
                <w:szCs w:val="8"/>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Financing/Twin Junior</w:t>
            </w:r>
          </w:p>
        </w:tc>
        <w:tc>
          <w:tcPr>
            <w:tcW w:w="14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Roll-Up</w:t>
            </w:r>
          </w:p>
        </w:tc>
        <w:tc>
          <w:tcPr>
            <w:tcW w:w="80" w:type="dxa"/>
            <w:vAlign w:val="bottom"/>
            <w:tcBorders>
              <w:right w:val="single" w:sz="8" w:color="auto"/>
            </w:tcBorders>
          </w:tcPr>
          <w:p>
            <w:pPr>
              <w:spacing w:after="0"/>
              <w:rPr>
                <w:sz w:val="10"/>
                <w:szCs w:val="10"/>
                <w:color w:val="auto"/>
              </w:rPr>
            </w:pPr>
          </w:p>
        </w:tc>
        <w:tc>
          <w:tcPr>
            <w:tcW w:w="102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8"/>
              </w:rPr>
              <w:t>Twin Senior</w:t>
            </w:r>
          </w:p>
        </w:tc>
        <w:tc>
          <w:tcPr>
            <w:tcW w:w="10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Twin Junior</w:t>
            </w:r>
          </w:p>
        </w:tc>
        <w:tc>
          <w:tcPr>
            <w:tcW w:w="212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Amount of Twin</w:t>
            </w:r>
          </w:p>
        </w:tc>
        <w:tc>
          <w:tcPr>
            <w:tcW w:w="0" w:type="dxa"/>
            <w:vAlign w:val="bottom"/>
          </w:tcPr>
          <w:p>
            <w:pPr>
              <w:spacing w:after="0"/>
              <w:rPr>
                <w:sz w:val="1"/>
                <w:szCs w:val="1"/>
                <w:color w:val="auto"/>
              </w:rPr>
            </w:pPr>
          </w:p>
        </w:tc>
      </w:tr>
      <w:tr>
        <w:trPr>
          <w:trHeight w:val="94"/>
        </w:trPr>
        <w:tc>
          <w:tcPr>
            <w:tcW w:w="1040" w:type="dxa"/>
            <w:vAlign w:val="bottom"/>
            <w:tcBorders>
              <w:left w:val="single" w:sz="8" w:color="auto"/>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Twin New</w:t>
            </w:r>
          </w:p>
        </w:tc>
        <w:tc>
          <w:tcPr>
            <w:tcW w:w="80" w:type="dxa"/>
            <w:vAlign w:val="bottom"/>
          </w:tcPr>
          <w:p>
            <w:pPr>
              <w:spacing w:after="0"/>
              <w:rPr>
                <w:sz w:val="8"/>
                <w:szCs w:val="8"/>
                <w:color w:val="auto"/>
              </w:rPr>
            </w:pPr>
          </w:p>
        </w:tc>
        <w:tc>
          <w:tcPr>
            <w:tcW w:w="8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Money DIP</w:t>
            </w:r>
          </w:p>
        </w:tc>
        <w:tc>
          <w:tcPr>
            <w:tcW w:w="100" w:type="dxa"/>
            <w:vAlign w:val="bottom"/>
            <w:tcBorders>
              <w:right w:val="single" w:sz="8" w:color="auto"/>
            </w:tcBorders>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102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gridSpan w:val="2"/>
            <w:vMerge w:val="continue"/>
          </w:tcPr>
          <w:p>
            <w:pPr>
              <w:spacing w:after="0"/>
              <w:rPr>
                <w:sz w:val="8"/>
                <w:szCs w:val="8"/>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Roll-Up Financing/Twin</w:t>
            </w:r>
          </w:p>
        </w:tc>
        <w:tc>
          <w:tcPr>
            <w:tcW w:w="1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40" w:type="dxa"/>
            <w:vAlign w:val="bottom"/>
            <w:tcBorders>
              <w:left w:val="single" w:sz="8" w:color="auto"/>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Financing</w:t>
            </w:r>
          </w:p>
        </w:tc>
        <w:tc>
          <w:tcPr>
            <w:tcW w:w="80" w:type="dxa"/>
            <w:vAlign w:val="bottom"/>
            <w:tcBorders>
              <w:right w:val="single" w:sz="8" w:color="auto"/>
            </w:tcBorders>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Roll-Up</w:t>
            </w:r>
          </w:p>
        </w:tc>
        <w:tc>
          <w:tcPr>
            <w:tcW w:w="10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Roll-Up</w:t>
            </w:r>
          </w:p>
        </w:tc>
        <w:tc>
          <w:tcPr>
            <w:tcW w:w="212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DIP</w:t>
            </w:r>
          </w:p>
        </w:tc>
        <w:tc>
          <w:tcPr>
            <w:tcW w:w="0" w:type="dxa"/>
            <w:vAlign w:val="bottom"/>
          </w:tcPr>
          <w:p>
            <w:pPr>
              <w:spacing w:after="0"/>
              <w:rPr>
                <w:sz w:val="1"/>
                <w:szCs w:val="1"/>
                <w:color w:val="auto"/>
              </w:rPr>
            </w:pPr>
          </w:p>
        </w:tc>
      </w:tr>
      <w:tr>
        <w:trPr>
          <w:trHeight w:val="95"/>
        </w:trPr>
        <w:tc>
          <w:tcPr>
            <w:tcW w:w="1040" w:type="dxa"/>
            <w:vAlign w:val="bottom"/>
            <w:tcBorders>
              <w:left w:val="single" w:sz="8" w:color="auto"/>
              <w:right w:val="single" w:sz="8" w:color="auto"/>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Assignor</w:t>
            </w:r>
          </w:p>
        </w:tc>
        <w:tc>
          <w:tcPr>
            <w:tcW w:w="102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Assignee</w:t>
            </w:r>
          </w:p>
        </w:tc>
        <w:tc>
          <w:tcPr>
            <w:tcW w:w="11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Money DIP</w:t>
            </w:r>
          </w:p>
        </w:tc>
        <w:tc>
          <w:tcPr>
            <w:tcW w:w="80" w:type="dxa"/>
            <w:vAlign w:val="bottom"/>
          </w:tcPr>
          <w:p>
            <w:pPr>
              <w:spacing w:after="0"/>
              <w:rPr>
                <w:sz w:val="8"/>
                <w:szCs w:val="8"/>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Loans</w:t>
            </w:r>
          </w:p>
        </w:tc>
        <w:tc>
          <w:tcPr>
            <w:tcW w:w="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102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gridSpan w:val="2"/>
            <w:vMerge w:val="continue"/>
          </w:tcPr>
          <w:p>
            <w:pPr>
              <w:spacing w:after="0"/>
              <w:rPr>
                <w:sz w:val="8"/>
                <w:szCs w:val="8"/>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DIP</w:t>
            </w:r>
          </w:p>
        </w:tc>
        <w:tc>
          <w:tcPr>
            <w:tcW w:w="1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040" w:type="dxa"/>
            <w:vAlign w:val="bottom"/>
            <w:tcBorders>
              <w:left w:val="single" w:sz="8" w:color="auto"/>
              <w:right w:val="single" w:sz="8" w:color="auto"/>
            </w:tcBorders>
            <w:vMerge w:val="continue"/>
          </w:tcPr>
          <w:p>
            <w:pPr>
              <w:spacing w:after="0"/>
              <w:rPr>
                <w:sz w:val="10"/>
                <w:szCs w:val="10"/>
                <w:color w:val="auto"/>
              </w:rPr>
            </w:pPr>
          </w:p>
        </w:tc>
        <w:tc>
          <w:tcPr>
            <w:tcW w:w="102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/Twin Junior</w:t>
            </w:r>
          </w:p>
        </w:tc>
        <w:tc>
          <w:tcPr>
            <w:tcW w:w="80" w:type="dxa"/>
            <w:vAlign w:val="bottom"/>
            <w:tcBorders>
              <w:right w:val="single" w:sz="8" w:color="auto"/>
            </w:tcBorders>
          </w:tcPr>
          <w:p>
            <w:pPr>
              <w:spacing w:after="0"/>
              <w:rPr>
                <w:sz w:val="10"/>
                <w:szCs w:val="10"/>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Financing</w:t>
            </w:r>
          </w:p>
        </w:tc>
        <w:tc>
          <w:tcPr>
            <w:tcW w:w="10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Financing</w:t>
            </w:r>
          </w:p>
        </w:tc>
        <w:tc>
          <w:tcPr>
            <w:tcW w:w="2120" w:type="dxa"/>
            <w:vAlign w:val="bottom"/>
            <w:tcBorders>
              <w:right w:val="single" w:sz="8" w:color="auto"/>
            </w:tcBorders>
            <w:vMerge w:val="continue"/>
          </w:tcPr>
          <w:p>
            <w:pPr>
              <w:spacing w:after="0"/>
              <w:rPr>
                <w:sz w:val="10"/>
                <w:szCs w:val="10"/>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Commitments</w:t>
            </w:r>
          </w:p>
        </w:tc>
        <w:tc>
          <w:tcPr>
            <w:tcW w:w="0" w:type="dxa"/>
            <w:vAlign w:val="bottom"/>
          </w:tcPr>
          <w:p>
            <w:pPr>
              <w:spacing w:after="0"/>
              <w:rPr>
                <w:sz w:val="1"/>
                <w:szCs w:val="1"/>
                <w:color w:val="auto"/>
              </w:rPr>
            </w:pPr>
          </w:p>
        </w:tc>
      </w:tr>
      <w:tr>
        <w:trPr>
          <w:trHeight w:val="95"/>
        </w:trPr>
        <w:tc>
          <w:tcPr>
            <w:tcW w:w="1040" w:type="dxa"/>
            <w:vAlign w:val="bottom"/>
            <w:tcBorders>
              <w:left w:val="single" w:sz="8" w:color="auto"/>
              <w:right w:val="single" w:sz="8" w:color="auto"/>
            </w:tcBorders>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right w:val="single" w:sz="8" w:color="auto"/>
            </w:tcBorders>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w w:val="95"/>
              </w:rPr>
              <w:t>Loans</w:t>
            </w:r>
          </w:p>
        </w:tc>
        <w:tc>
          <w:tcPr>
            <w:tcW w:w="80" w:type="dxa"/>
            <w:vAlign w:val="bottom"/>
          </w:tcPr>
          <w:p>
            <w:pPr>
              <w:spacing w:after="0"/>
              <w:rPr>
                <w:sz w:val="8"/>
                <w:szCs w:val="8"/>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Assigned</w:t>
            </w:r>
          </w:p>
        </w:tc>
        <w:tc>
          <w:tcPr>
            <w:tcW w:w="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040" w:type="dxa"/>
            <w:vAlign w:val="bottom"/>
            <w:gridSpan w:val="4"/>
            <w:vMerge w:val="continue"/>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102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gridSpan w:val="2"/>
            <w:vMerge w:val="continue"/>
          </w:tcPr>
          <w:p>
            <w:pPr>
              <w:spacing w:after="0"/>
              <w:rPr>
                <w:sz w:val="8"/>
                <w:szCs w:val="8"/>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Commitments</w:t>
            </w:r>
          </w:p>
        </w:tc>
        <w:tc>
          <w:tcPr>
            <w:tcW w:w="1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1040" w:type="dxa"/>
            <w:vAlign w:val="bottom"/>
            <w:tcBorders>
              <w:left w:val="single" w:sz="8" w:color="auto"/>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Roll-Up</w:t>
            </w:r>
          </w:p>
        </w:tc>
        <w:tc>
          <w:tcPr>
            <w:tcW w:w="80" w:type="dxa"/>
            <w:vAlign w:val="bottom"/>
            <w:tcBorders>
              <w:right w:val="single" w:sz="8" w:color="auto"/>
            </w:tcBorders>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Assigned</w:t>
            </w:r>
          </w:p>
        </w:tc>
        <w:tc>
          <w:tcPr>
            <w:tcW w:w="10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Assigned</w:t>
            </w:r>
          </w:p>
        </w:tc>
        <w:tc>
          <w:tcPr>
            <w:tcW w:w="212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Assigned</w:t>
            </w:r>
          </w:p>
        </w:tc>
        <w:tc>
          <w:tcPr>
            <w:tcW w:w="0" w:type="dxa"/>
            <w:vAlign w:val="bottom"/>
          </w:tcPr>
          <w:p>
            <w:pPr>
              <w:spacing w:after="0"/>
              <w:rPr>
                <w:sz w:val="1"/>
                <w:szCs w:val="1"/>
                <w:color w:val="auto"/>
              </w:rPr>
            </w:pPr>
          </w:p>
        </w:tc>
      </w:tr>
      <w:tr>
        <w:trPr>
          <w:trHeight w:val="76"/>
        </w:trPr>
        <w:tc>
          <w:tcPr>
            <w:tcW w:w="1040" w:type="dxa"/>
            <w:vAlign w:val="bottom"/>
            <w:tcBorders>
              <w:left w:val="single" w:sz="8" w:color="auto"/>
              <w:right w:val="single" w:sz="8" w:color="auto"/>
            </w:tcBorders>
          </w:tcPr>
          <w:p>
            <w:pPr>
              <w:spacing w:after="0"/>
              <w:rPr>
                <w:sz w:val="6"/>
                <w:szCs w:val="6"/>
                <w:color w:val="auto"/>
              </w:rPr>
            </w:pPr>
          </w:p>
        </w:tc>
        <w:tc>
          <w:tcPr>
            <w:tcW w:w="1020" w:type="dxa"/>
            <w:vAlign w:val="bottom"/>
            <w:tcBorders>
              <w:right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gridSpan w:val="2"/>
            <w:vMerge w:val="continue"/>
          </w:tcPr>
          <w:p>
            <w:pPr>
              <w:spacing w:after="0"/>
              <w:rPr>
                <w:sz w:val="6"/>
                <w:szCs w:val="6"/>
                <w:color w:val="auto"/>
              </w:rPr>
            </w:pPr>
          </w:p>
        </w:tc>
        <w:tc>
          <w:tcPr>
            <w:tcW w:w="2120" w:type="dxa"/>
            <w:vAlign w:val="bottom"/>
            <w:tcBorders>
              <w:right w:val="single" w:sz="8" w:color="auto"/>
            </w:tcBorders>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7"/>
              </w:rPr>
              <w:t>Financing</w:t>
            </w:r>
          </w:p>
        </w:tc>
        <w:tc>
          <w:tcPr>
            <w:tcW w:w="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bottom w:val="single" w:sz="8" w:color="auto"/>
              <w:right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break]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70" w:name="page171"/>
    <w:bookmarkEnd w:id="170"/>
    <w:p>
      <w:pPr>
        <w:spacing w:after="0"/>
        <w:tabs>
          <w:tab w:leader="none" w:pos="2800" w:val="left"/>
        </w:tabs>
        <w:rPr>
          <w:sz w:val="20"/>
          <w:szCs w:val="20"/>
          <w:color w:val="auto"/>
        </w:rPr>
      </w:pPr>
      <w:r>
        <w:rPr>
          <w:rFonts w:ascii="Times New Roman" w:cs="Times New Roman" w:eastAsia="Times New Roman" w:hAnsi="Times New Roman"/>
          <w:sz w:val="18"/>
          <w:szCs w:val="18"/>
          <w:color w:val="auto"/>
        </w:rPr>
        <w:t>Effective Date:</w:t>
      </w:r>
      <w:r>
        <w:rPr>
          <w:sz w:val="20"/>
          <w:szCs w:val="20"/>
          <w:color w:val="auto"/>
        </w:rPr>
        <w:tab/>
      </w:r>
      <w:r>
        <w:rPr>
          <w:rFonts w:ascii="Times New Roman" w:cs="Times New Roman" w:eastAsia="Times New Roman" w:hAnsi="Times New Roman"/>
          <w:sz w:val="17"/>
          <w:szCs w:val="17"/>
          <w:color w:val="auto"/>
        </w:rPr>
        <w:t>, 2026 [TO BE INSERTED BY AGENT AND WHICH SHALL BE THE EFFECTIVE DATE OF RECORDATION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697865</wp:posOffset>
            </wp:positionH>
            <wp:positionV relativeFrom="paragraph">
              <wp:posOffset>-7620</wp:posOffset>
            </wp:positionV>
            <wp:extent cx="10909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909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TRANSFER IN THE REGISTER THEREFOR.]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terms set forth in this Assignment and Assumption are hereby agreed to:</w:t>
      </w:r>
    </w:p>
    <w:p>
      <w:pPr>
        <w:spacing w:after="0" w:line="1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ASSIGNOR[S]</w:t>
      </w:r>
      <w:r>
        <w:rPr>
          <w:rFonts w:ascii="Times New Roman" w:cs="Times New Roman" w:eastAsia="Times New Roman" w:hAnsi="Times New Roman"/>
          <w:sz w:val="29"/>
          <w:szCs w:val="29"/>
          <w:u w:val="single" w:color="auto"/>
          <w:color w:val="auto"/>
          <w:vertAlign w:val="superscript"/>
        </w:rPr>
        <w:t>2</w:t>
      </w:r>
    </w:p>
    <w:p>
      <w:pPr>
        <w:ind w:left="564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22860</wp:posOffset>
            </wp:positionV>
            <wp:extent cx="299148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-121920</wp:posOffset>
            </wp:positionV>
            <wp:extent cx="29914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ASSIGNOR]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22860</wp:posOffset>
            </wp:positionV>
            <wp:extent cx="299148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-121920</wp:posOffset>
            </wp:positionV>
            <wp:extent cx="299148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2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29"/>
          <w:szCs w:val="29"/>
          <w:color w:val="auto"/>
          <w:vertAlign w:val="superscript"/>
        </w:rPr>
        <w:t>3</w:t>
      </w:r>
    </w:p>
    <w:p>
      <w:pPr>
        <w:spacing w:after="0" w:line="1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22860</wp:posOffset>
            </wp:positionV>
            <wp:extent cx="299148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-121920</wp:posOffset>
            </wp:positionV>
            <wp:extent cx="299148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-127635</wp:posOffset>
            </wp:positionV>
            <wp:extent cx="334327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22860</wp:posOffset>
            </wp:positionV>
            <wp:extent cx="299148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-121920</wp:posOffset>
            </wp:positionV>
            <wp:extent cx="299148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991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17830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400" w:lineRule="exact"/>
        <w:rPr>
          <w:sz w:val="20"/>
          <w:szCs w:val="20"/>
          <w:color w:val="auto"/>
        </w:rPr>
      </w:pPr>
    </w:p>
    <w:p>
      <w:pPr>
        <w:ind w:left="120" w:hanging="112"/>
        <w:spacing w:after="0"/>
        <w:tabs>
          <w:tab w:leader="none" w:pos="120" w:val="left"/>
        </w:tabs>
        <w:numPr>
          <w:ilvl w:val="0"/>
          <w:numId w:val="14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Add additional signature blocks as needed.</w:t>
      </w:r>
    </w:p>
    <w:p>
      <w:pPr>
        <w:spacing w:after="0" w:line="42" w:lineRule="exact"/>
        <w:rPr>
          <w:rFonts w:ascii="Times New Roman" w:cs="Times New Roman" w:eastAsia="Times New Roman" w:hAnsi="Times New Roman"/>
          <w:sz w:val="30"/>
          <w:szCs w:val="30"/>
          <w:color w:val="auto"/>
          <w:vertAlign w:val="superscript"/>
        </w:rPr>
      </w:pPr>
    </w:p>
    <w:p>
      <w:pPr>
        <w:spacing w:after="0"/>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Add additional signature blocks as needed.</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color w:val="auto"/>
        </w:rPr>
        <w:t>Accepted: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UMB Bank, N.A.,</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as DIP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-127635</wp:posOffset>
            </wp:positionV>
            <wp:extent cx="33515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22860</wp:posOffset>
            </wp:positionV>
            <wp:extent cx="299148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-121920</wp:posOffset>
            </wp:positionV>
            <wp:extent cx="299148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27"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M-4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color w:val="auto"/>
        </w:rPr>
        <w:t>ANNEX 1</w:t>
      </w:r>
    </w:p>
    <w:p>
      <w:pPr>
        <w:spacing w:after="0" w:line="229" w:lineRule="exact"/>
        <w:rPr>
          <w:sz w:val="20"/>
          <w:szCs w:val="20"/>
          <w:color w:val="auto"/>
        </w:rPr>
      </w:pPr>
    </w:p>
    <w:p>
      <w:pPr>
        <w:ind w:left="4660"/>
        <w:spacing w:after="0"/>
        <w:tabs>
          <w:tab w:leader="none" w:pos="6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-64770</wp:posOffset>
            </wp:positionV>
            <wp:extent cx="11137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STANDARD TERMS AND CONDITIONS FOR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AND ASSUMPTION</w:t>
      </w:r>
    </w:p>
    <w:p>
      <w:pPr>
        <w:spacing w:after="0" w:line="207" w:lineRule="exact"/>
        <w:rPr>
          <w:sz w:val="20"/>
          <w:szCs w:val="20"/>
          <w:color w:val="auto"/>
        </w:rPr>
      </w:pPr>
    </w:p>
    <w:p>
      <w:pPr>
        <w:ind w:left="180" w:hanging="172"/>
        <w:spacing w:after="0"/>
        <w:tabs>
          <w:tab w:leader="none" w:pos="1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Assignor[s]</w:t>
      </w:r>
      <w:r>
        <w:rPr>
          <w:rFonts w:ascii="Times New Roman" w:cs="Times New Roman" w:eastAsia="Times New Roman" w:hAnsi="Times New Roman"/>
          <w:sz w:val="18"/>
          <w:szCs w:val="18"/>
          <w:color w:val="auto"/>
        </w:rPr>
        <w:t>. Subject to the Twin Roll-Up Reservation (as defined in the DIP Order) and the requirements relating to the Roll-Up Loans set forth in the Credit Agreement (including, without limitation, Section 8(d)(iv) thereof), each Assignor (a) represents and warrants that (i) it is the legal and beneficial owner of the relevant Assigned Interest, (ii) such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DIP Loan Document, (ii) the execution, legality, validity, enforceability, genuineness, sufficiency or value of the DIP Loan Documents or any collateral thereunder, (iii) the financial condition of the Borrower, any of its Subsidiaries or Affiliates or any other Person obligated in respect of any DIP Loan Document, or (iv) the performance or observance by the Borrower, any of its Subsidiaries or Affiliates or any other Person of any of their respective obligations under any DIP Loan Document.</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Assignees</w:t>
      </w:r>
      <w:r>
        <w:rPr>
          <w:rFonts w:ascii="Times New Roman" w:cs="Times New Roman" w:eastAsia="Times New Roman" w:hAnsi="Times New Roman"/>
          <w:sz w:val="18"/>
          <w:szCs w:val="18"/>
          <w:color w:val="auto"/>
        </w:rPr>
        <w:t>. Each Assignee (a) represents and warrants that (i) it has full power and authority, and has taken all action necessary, to execute and deliver this Assignment and Assumption and to consummate the transactions contemplated hereby and to become a [FBG DIP Lender/Twin DIP Lender] under the Credit Agreement, (ii) it meets all the requirements to be an assignee under the Credit Agreement (subject to such consents, if any, as may be required thereunder), (iii) from and after the Effective Date specified for this Assignment and Assumption, it shall be bound by the provisions of the Credit Agreement as a Lender thereunder and, to the extent of the relevant Assigned Interest, shall have the rights and obligations of a [FBG DIP Lender/Twin DIP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and has received or has been accorded the opportunity to receive copies of the most recent financial statements delivered pursuant to Section 5(a) thereof, as applicable, and such other documents and information as it deems appropriate to make its own credit analysis and decision to enter into this Assignment and Assumption and to purchase such Assigned Interest, (vi) it has, independently and without reliance upon the DIP Agent, any Assignor or any other Lender and based on such documents and information as it has deemed appropriate, made its own credit analysis and decision to enter into this Assignment and Assumption and to purchase such Assigned Interest, and (vii) if it is a foreign Lender, attached to the Assignment and Assumption is any documentation required to be delivered by it pursuant to the terms of the Credit Agreement, duly completed and executed by such Assignee; and (b) agrees that (i) it will, independently and without reliance on the DIP Agent, any Assignor or any other Lender, and based on such documents and information as it shall deem appropriate at the time, continue to make its own credit decisions in taking or not taking action under the DIP Loan Documents, and (ii) it will perform in accordance with their terms all of the obligations which by the terms of the DIP Loan Documents are required to be performed by it as a [FBG DIP Lender/Twin DIP Lender].</w:t>
      </w:r>
    </w:p>
    <w:p>
      <w:pPr>
        <w:spacing w:after="0" w:line="193" w:lineRule="exact"/>
        <w:rPr>
          <w:sz w:val="20"/>
          <w:szCs w:val="20"/>
          <w:color w:val="auto"/>
        </w:rPr>
      </w:pPr>
    </w:p>
    <w:p>
      <w:pPr>
        <w:jc w:val="both"/>
        <w:ind w:firstLine="8"/>
        <w:spacing w:after="0" w:line="261" w:lineRule="auto"/>
        <w:tabs>
          <w:tab w:leader="none" w:pos="19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From and after the Effective Date, the DIP Agent shall make all payments in respect of each Assigned Interest (including payments of principal, interest, fees and other amounts) to the relevant Assignor for amounts that have accrued to but excluding the Effective Date and to the relevant Assignee for amounts that have accrued from and after the Effective Date. Notwithstanding the foregoing, the DIP Agent shall make all payments of interest, fees or other amounts paid or payable in kind from and after the Effective Date to the relevant Assignee.</w:t>
      </w:r>
    </w:p>
    <w:p>
      <w:pPr>
        <w:spacing w:after="0" w:line="179" w:lineRule="exact"/>
        <w:rPr>
          <w:rFonts w:ascii="Times New Roman" w:cs="Times New Roman" w:eastAsia="Times New Roman" w:hAnsi="Times New Roman"/>
          <w:sz w:val="18"/>
          <w:szCs w:val="18"/>
          <w:color w:val="auto"/>
        </w:rPr>
      </w:pPr>
    </w:p>
    <w:p>
      <w:pPr>
        <w:jc w:val="both"/>
        <w:ind w:firstLine="8"/>
        <w:spacing w:after="0" w:line="258" w:lineRule="auto"/>
        <w:tabs>
          <w:tab w:leader="none" w:pos="1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New York without regard to conflicts or choice of law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0" w:lineRule="exact"/>
        <w:rPr>
          <w:sz w:val="20"/>
          <w:szCs w:val="20"/>
          <w:color w:val="auto"/>
        </w:rPr>
      </w:pPr>
    </w:p>
    <w:p>
      <w:pPr>
        <w:ind w:left="120" w:hanging="112"/>
        <w:spacing w:after="0"/>
        <w:tabs>
          <w:tab w:leader="none" w:pos="120" w:val="left"/>
        </w:tabs>
        <w:numPr>
          <w:ilvl w:val="0"/>
          <w:numId w:val="14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Describe Credit Agreement at option of Agent.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1)"/>
      <w:numFmt w:val="lowerLetter"/>
      <w:start w:val="4"/>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1)"/>
      <w:numFmt w:val="lowerRoman"/>
      <w:start w:val="1"/>
    </w:lvl>
  </w:abstractNum>
  <w:abstractNum w:abstractNumId="4">
    <w:nsid w:val="7BD3EE7B"/>
    <w:multiLevelType w:val="hybridMultilevel"/>
    <w:lvl w:ilvl="0">
      <w:lvlJc w:val="left"/>
      <w:lvlText w:val="1"/>
      <w:numFmt w:val="bullet"/>
      <w:start w:val="1"/>
    </w:lvl>
  </w:abstractNum>
  <w:abstractNum w:abstractNumId="5">
    <w:nsid w:val="51D9C564"/>
    <w:multiLevelType w:val="hybridMultilevel"/>
    <w:lvl w:ilvl="0">
      <w:lvlJc w:val="left"/>
      <w:lvlText w:val="%1."/>
      <w:numFmt w:val="decimal"/>
      <w:start w:val="1"/>
    </w:lvl>
  </w:abstractNum>
  <w:abstractNum w:abstractNumId="6">
    <w:nsid w:val="613EFDC5"/>
    <w:multiLevelType w:val="hybridMultilevel"/>
    <w:lvl w:ilvl="0">
      <w:lvlJc w:val="left"/>
      <w:lvlText w:val="(%1)"/>
      <w:numFmt w:val="lowerRoman"/>
      <w:start w:val="1"/>
    </w:lvl>
  </w:abstractNum>
  <w:abstractNum w:abstractNumId="7">
    <w:nsid w:val="BF72B14"/>
    <w:multiLevelType w:val="hybridMultilevel"/>
    <w:lvl w:ilvl="0">
      <w:lvlJc w:val="left"/>
      <w:lvlText w:val="(%1)"/>
      <w:numFmt w:val="lowerRoman"/>
      <w:start w:val="1"/>
    </w:lvl>
  </w:abstractNum>
  <w:abstractNum w:abstractNumId="8">
    <w:nsid w:val="11447B73"/>
    <w:multiLevelType w:val="hybridMultilevel"/>
    <w:lvl w:ilvl="0">
      <w:lvlJc w:val="left"/>
      <w:lvlText w:val="%1."/>
      <w:numFmt w:val="decimal"/>
      <w:start w:val="3"/>
    </w:lvl>
  </w:abstractNum>
  <w:abstractNum w:abstractNumId="9">
    <w:nsid w:val="42963E5A"/>
    <w:multiLevelType w:val="hybridMultilevel"/>
    <w:lvl w:ilvl="0">
      <w:lvlJc w:val="left"/>
      <w:lvlText w:val="(%1)"/>
      <w:numFmt w:val="lowerRoman"/>
      <w:start w:val="1"/>
    </w:lvl>
  </w:abstractNum>
  <w:abstractNum w:abstractNumId="10">
    <w:nsid w:val="A0382C5"/>
    <w:multiLevelType w:val="hybridMultilevel"/>
    <w:lvl w:ilvl="0">
      <w:lvlJc w:val="left"/>
      <w:lvlText w:val="(%1)"/>
      <w:numFmt w:val="lowerRoman"/>
      <w:start w:val="2"/>
    </w:lvl>
    <w:lvl w:ilvl="1">
      <w:lvlJc w:val="left"/>
      <w:lvlText w:val="%2."/>
      <w:numFmt w:val="lowerLetter"/>
      <w:start w:val="1"/>
    </w:lvl>
  </w:abstractNum>
  <w:abstractNum w:abstractNumId="11">
    <w:nsid w:val="8F2B15E"/>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12">
    <w:nsid w:val="1A32234B"/>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abstractNum>
  <w:abstractNum w:abstractNumId="13">
    <w:nsid w:val="3B0FD379"/>
    <w:multiLevelType w:val="hybridMultilevel"/>
    <w:lvl w:ilvl="0">
      <w:lvlJc w:val="left"/>
      <w:lvlText w:val="%1."/>
      <w:numFmt w:val="decimal"/>
      <w:start w:val="7"/>
    </w:lvl>
  </w:abstractNum>
  <w:abstractNum w:abstractNumId="14">
    <w:nsid w:val="68EB2F63"/>
    <w:multiLevelType w:val="hybridMultilevel"/>
    <w:lvl w:ilvl="0">
      <w:lvlJc w:val="left"/>
      <w:lvlText w:val="%1."/>
      <w:numFmt w:val="decimal"/>
      <w:start w:val="12"/>
    </w:lvl>
  </w:abstractNum>
  <w:abstractNum w:abstractNumId="15">
    <w:nsid w:val="4962813B"/>
    <w:multiLevelType w:val="hybridMultilevel"/>
    <w:lvl w:ilvl="0">
      <w:lvlJc w:val="left"/>
      <w:lvlText w:val="(%1)"/>
      <w:numFmt w:val="lowerRoman"/>
      <w:start w:val="1"/>
    </w:lvl>
  </w:abstractNum>
  <w:abstractNum w:abstractNumId="16">
    <w:nsid w:val="60B6DF70"/>
    <w:multiLevelType w:val="hybridMultilevel"/>
    <w:lvl w:ilvl="0">
      <w:lvlJc w:val="left"/>
      <w:lvlText w:val="(%1)"/>
      <w:numFmt w:val="lowerRoman"/>
      <w:start w:val="3"/>
    </w:lvl>
    <w:lvl w:ilvl="1">
      <w:lvlJc w:val="left"/>
      <w:lvlText w:val="(%2)"/>
      <w:numFmt w:val="lowerLetter"/>
      <w:start w:val="4"/>
    </w:lvl>
  </w:abstractNum>
  <w:abstractNum w:abstractNumId="17">
    <w:nsid w:val="6A5EE64"/>
    <w:multiLevelType w:val="hybridMultilevel"/>
    <w:lvl w:ilvl="0">
      <w:lvlJc w:val="left"/>
      <w:lvlText w:val="%1."/>
      <w:numFmt w:val="decimal"/>
      <w:start w:val="18"/>
    </w:lvl>
  </w:abstractNum>
  <w:abstractNum w:abstractNumId="18">
    <w:nsid w:val="14330624"/>
    <w:multiLevelType w:val="hybridMultilevel"/>
    <w:lvl w:ilvl="0">
      <w:lvlJc w:val="left"/>
      <w:lvlText w:val="(%1)"/>
      <w:numFmt w:val="decimal"/>
      <w:start w:val="2"/>
    </w:lvl>
  </w:abstractNum>
  <w:abstractNum w:abstractNumId="19">
    <w:nsid w:val="7FFFCA11"/>
    <w:multiLevelType w:val="hybridMultilevel"/>
    <w:lvl w:ilvl="0">
      <w:lvlJc w:val="left"/>
      <w:lvlText w:val="(%1)"/>
      <w:numFmt w:val="lowerLetter"/>
      <w:start w:val="4"/>
    </w:lvl>
  </w:abstractNum>
  <w:abstractNum w:abstractNumId="20">
    <w:nsid w:val="1A27709E"/>
    <w:multiLevelType w:val="hybridMultilevel"/>
    <w:lvl w:ilvl="0">
      <w:lvlJc w:val="left"/>
      <w:lvlText w:val="(%1)"/>
      <w:numFmt w:val="lowerRoman"/>
      <w:start w:val="2"/>
    </w:lvl>
  </w:abstractNum>
  <w:abstractNum w:abstractNumId="21">
    <w:nsid w:val="71EA1109"/>
    <w:multiLevelType w:val="hybridMultilevel"/>
    <w:lvl w:ilvl="0">
      <w:lvlJc w:val="left"/>
      <w:lvlText w:val="(%1)"/>
      <w:numFmt w:val="lowerLetter"/>
      <w:start w:val="1"/>
    </w:lvl>
  </w:abstractNum>
  <w:abstractNum w:abstractNumId="22">
    <w:nsid w:val="100F59DC"/>
    <w:multiLevelType w:val="hybridMultilevel"/>
    <w:lvl w:ilvl="0">
      <w:lvlJc w:val="left"/>
      <w:lvlText w:val="(%1)"/>
      <w:numFmt w:val="lowerLetter"/>
      <w:start w:val="5"/>
    </w:lvl>
  </w:abstractNum>
  <w:abstractNum w:abstractNumId="23">
    <w:nsid w:val="7FB7E0AA"/>
    <w:multiLevelType w:val="hybridMultilevel"/>
    <w:lvl w:ilvl="0">
      <w:lvlJc w:val="left"/>
      <w:lvlText w:val="(%1)"/>
      <w:numFmt w:val="lowerLetter"/>
      <w:start w:val="1"/>
    </w:lvl>
  </w:abstractNum>
  <w:abstractNum w:abstractNumId="24">
    <w:nsid w:val="6EB5BD4"/>
    <w:multiLevelType w:val="hybridMultilevel"/>
    <w:lvl w:ilvl="0">
      <w:lvlJc w:val="left"/>
      <w:lvlText w:val="(%1)"/>
      <w:numFmt w:val="lowerLetter"/>
      <w:start w:val="3"/>
    </w:lvl>
  </w:abstractNum>
  <w:abstractNum w:abstractNumId="25">
    <w:nsid w:val="6F6DD9AC"/>
    <w:multiLevelType w:val="hybridMultilevel"/>
    <w:lvl w:ilvl="0">
      <w:lvlJc w:val="left"/>
      <w:lvlText w:val="(%1)"/>
      <w:numFmt w:val="lowerLetter"/>
      <w:start w:val="4"/>
    </w:lvl>
  </w:abstractNum>
  <w:abstractNum w:abstractNumId="26">
    <w:nsid w:val="94211F2"/>
    <w:multiLevelType w:val="hybridMultilevel"/>
    <w:lvl w:ilvl="0">
      <w:lvlJc w:val="left"/>
      <w:lvlText w:val="(%1)"/>
      <w:numFmt w:val="lowerLetter"/>
      <w:start w:val="6"/>
    </w:lvl>
    <w:lvl w:ilvl="1">
      <w:lvlJc w:val="left"/>
      <w:lvlText w:val="(%2)"/>
      <w:numFmt w:val="lowerLetter"/>
      <w:start w:val="9"/>
    </w:lvl>
  </w:abstractNum>
  <w:abstractNum w:abstractNumId="27">
    <w:nsid w:val="885E1B"/>
    <w:multiLevelType w:val="hybridMultilevel"/>
    <w:lvl w:ilvl="0">
      <w:lvlJc w:val="left"/>
      <w:lvlText w:val="%1"/>
      <w:numFmt w:val="lowerLetter"/>
      <w:start w:val="1"/>
    </w:lvl>
    <w:lvl w:ilvl="1">
      <w:lvlJc w:val="left"/>
      <w:lvlText w:val="(%2)"/>
      <w:numFmt w:val="lowerLetter"/>
      <w:start w:val="35"/>
    </w:lvl>
  </w:abstractNum>
  <w:abstractNum w:abstractNumId="28">
    <w:nsid w:val="76272110"/>
    <w:multiLevelType w:val="hybridMultilevel"/>
    <w:lvl w:ilvl="0">
      <w:lvlJc w:val="left"/>
      <w:lvlText w:val="(%1)"/>
      <w:numFmt w:val="lowerLetter"/>
      <w:start w:val="7"/>
    </w:lvl>
    <w:lvl w:ilvl="1">
      <w:lvlJc w:val="left"/>
      <w:lvlText w:val="(%2)"/>
      <w:numFmt w:val="lowerLetter"/>
      <w:start w:val="9"/>
    </w:lvl>
  </w:abstractNum>
  <w:abstractNum w:abstractNumId="29">
    <w:nsid w:val="4C04A8AF"/>
    <w:multiLevelType w:val="hybridMultilevel"/>
    <w:lvl w:ilvl="0">
      <w:lvlJc w:val="left"/>
      <w:lvlText w:val="(%1)"/>
      <w:numFmt w:val="lowerRoman"/>
      <w:start w:val="2"/>
    </w:lvl>
  </w:abstractNum>
  <w:abstractNum w:abstractNumId="30">
    <w:nsid w:val="1716703B"/>
    <w:multiLevelType w:val="hybridMultilevel"/>
    <w:lvl w:ilvl="0">
      <w:lvlJc w:val="left"/>
      <w:lvlText w:val="(%1)"/>
      <w:numFmt w:val="lowerRoman"/>
      <w:start w:val="3"/>
    </w:lvl>
    <w:lvl w:ilvl="1">
      <w:lvlJc w:val="left"/>
      <w:lvlText w:val="(%2)"/>
      <w:numFmt w:val="upperLetter"/>
      <w:start w:val="1"/>
    </w:lvl>
  </w:abstractNum>
  <w:abstractNum w:abstractNumId="31">
    <w:nsid w:val="14E17E3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2">
    <w:nsid w:val="3222E7CD"/>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33">
    <w:nsid w:val="74DE0EE3"/>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34">
    <w:nsid w:val="68EBC550"/>
    <w:multiLevelType w:val="hybridMultilevel"/>
    <w:lvl w:ilvl="0">
      <w:lvlJc w:val="left"/>
      <w:lvlText w:val="(%1)"/>
      <w:numFmt w:val="lowerLetter"/>
      <w:start w:val="12"/>
    </w:lvl>
    <w:lvl w:ilvl="1">
      <w:lvlJc w:val="left"/>
      <w:lvlText w:val="(%2)"/>
      <w:numFmt w:val="lowerRoman"/>
      <w:start w:val="1"/>
    </w:lvl>
  </w:abstractNum>
  <w:abstractNum w:abstractNumId="35">
    <w:nsid w:val="2DF6D648"/>
    <w:multiLevelType w:val="hybridMultilevel"/>
    <w:lvl w:ilvl="0">
      <w:lvlJc w:val="left"/>
      <w:lvlText w:val="(%1)"/>
      <w:numFmt w:val="lowerLetter"/>
      <w:start w:val="14"/>
    </w:lvl>
    <w:lvl w:ilvl="1">
      <w:lvlJc w:val="left"/>
      <w:lvlText w:val="(%2)"/>
      <w:numFmt w:val="lowerRoman"/>
      <w:start w:val="1"/>
    </w:lvl>
  </w:abstractNum>
  <w:abstractNum w:abstractNumId="36">
    <w:nsid w:val="46B7D447"/>
    <w:multiLevelType w:val="hybridMultilevel"/>
    <w:lvl w:ilvl="0">
      <w:lvlJc w:val="left"/>
      <w:lvlText w:val="(%1)"/>
      <w:numFmt w:val="lowerLetter"/>
      <w:start w:val="15"/>
    </w:lvl>
  </w:abstractNum>
  <w:abstractNum w:abstractNumId="37">
    <w:nsid w:val="4A2AC315"/>
    <w:multiLevelType w:val="hybridMultilevel"/>
    <w:lvl w:ilvl="0">
      <w:lvlJc w:val="left"/>
      <w:lvlText w:val="(%1)"/>
      <w:numFmt w:val="lowerLetter"/>
      <w:start w:val="1"/>
    </w:lvl>
  </w:abstractNum>
  <w:abstractNum w:abstractNumId="38">
    <w:nsid w:val="39EE015C"/>
    <w:multiLevelType w:val="hybridMultilevel"/>
    <w:lvl w:ilvl="0">
      <w:lvlJc w:val="left"/>
      <w:lvlText w:val="(%1)"/>
      <w:numFmt w:val="lowerLetter"/>
      <w:start w:val="5"/>
    </w:lvl>
  </w:abstractNum>
  <w:abstractNum w:abstractNumId="39">
    <w:nsid w:val="57FC4FBB"/>
    <w:multiLevelType w:val="hybridMultilevel"/>
    <w:lvl w:ilvl="0">
      <w:lvlJc w:val="left"/>
      <w:lvlText w:val="(%1)"/>
      <w:numFmt w:val="lowerLetter"/>
      <w:start w:val="12"/>
    </w:lvl>
  </w:abstractNum>
  <w:abstractNum w:abstractNumId="40">
    <w:nsid w:val="CC1016F"/>
    <w:multiLevelType w:val="hybridMultilevel"/>
    <w:lvl w:ilvl="0">
      <w:lvlJc w:val="left"/>
      <w:lvlText w:val="(%1)"/>
      <w:numFmt w:val="lowerLetter"/>
      <w:start w:val="1"/>
    </w:lvl>
    <w:lvl w:ilvl="1">
      <w:lvlJc w:val="left"/>
      <w:lvlText w:val="(%2)"/>
      <w:numFmt w:val="lowerRoman"/>
      <w:start w:val="1"/>
    </w:lvl>
  </w:abstractNum>
  <w:abstractNum w:abstractNumId="41">
    <w:nsid w:val="43F18422"/>
    <w:multiLevelType w:val="hybridMultilevel"/>
    <w:lvl w:ilvl="0">
      <w:lvlJc w:val="left"/>
      <w:lvlText w:val="(%1)"/>
      <w:numFmt w:val="lowerRoman"/>
      <w:start w:val="8"/>
    </w:lvl>
  </w:abstractNum>
  <w:abstractNum w:abstractNumId="42">
    <w:nsid w:val="60EF0119"/>
    <w:multiLevelType w:val="hybridMultilevel"/>
    <w:lvl w:ilvl="0">
      <w:lvlJc w:val="left"/>
      <w:lvlText w:val="%1"/>
      <w:numFmt w:val="lowerLetter"/>
      <w:start w:val="1"/>
    </w:lvl>
    <w:lvl w:ilvl="1">
      <w:lvlJc w:val="left"/>
      <w:lvlText w:val="(%2)"/>
      <w:numFmt w:val="lowerRoman"/>
      <w:start w:val="14"/>
    </w:lvl>
  </w:abstractNum>
  <w:abstractNum w:abstractNumId="43">
    <w:nsid w:val="26F324BA"/>
    <w:multiLevelType w:val="hybridMultilevel"/>
    <w:lvl w:ilvl="0">
      <w:lvlJc w:val="left"/>
      <w:lvlText w:val="(%1)"/>
      <w:numFmt w:val="lowerLetter"/>
      <w:start w:val="2"/>
    </w:lvl>
    <w:lvl w:ilvl="1">
      <w:lvlJc w:val="left"/>
      <w:lvlText w:val="(%2)"/>
      <w:numFmt w:val="lowerRoman"/>
      <w:start w:val="1"/>
    </w:lvl>
  </w:abstractNum>
  <w:abstractNum w:abstractNumId="44">
    <w:nsid w:val="7F01579B"/>
    <w:multiLevelType w:val="hybridMultilevel"/>
    <w:lvl w:ilvl="0">
      <w:lvlJc w:val="left"/>
      <w:lvlText w:val="(%1)"/>
      <w:numFmt w:val="lowerRoman"/>
      <w:start w:val="3"/>
    </w:lvl>
  </w:abstractNum>
  <w:abstractNum w:abstractNumId="45">
    <w:nsid w:val="49DA307D"/>
    <w:multiLevelType w:val="hybridMultilevel"/>
    <w:lvl w:ilvl="0">
      <w:lvlJc w:val="left"/>
      <w:lvlText w:val="(%1)"/>
      <w:numFmt w:val="lowerLetter"/>
      <w:start w:val="3"/>
    </w:lvl>
    <w:lvl w:ilvl="1">
      <w:lvlJc w:val="left"/>
      <w:lvlText w:val="(%2)"/>
      <w:numFmt w:val="lowerRoman"/>
      <w:start w:val="1"/>
    </w:lvl>
  </w:abstractNum>
  <w:abstractNum w:abstractNumId="46">
    <w:nsid w:val="7055A5F5"/>
    <w:multiLevelType w:val="hybridMultilevel"/>
    <w:lvl w:ilvl="0">
      <w:lvlJc w:val="left"/>
      <w:lvlText w:val="(%1)"/>
      <w:numFmt w:val="lowerRoman"/>
      <w:start w:val="11"/>
    </w:lvl>
  </w:abstractNum>
  <w:abstractNum w:abstractNumId="47">
    <w:nsid w:val="5FB8370B"/>
    <w:multiLevelType w:val="hybridMultilevel"/>
    <w:lvl w:ilvl="0">
      <w:lvlJc w:val="left"/>
      <w:lvlText w:val="(%1)"/>
      <w:numFmt w:val="lowerLetter"/>
      <w:start w:val="1"/>
    </w:lvl>
  </w:abstractNum>
  <w:abstractNum w:abstractNumId="48">
    <w:nsid w:val="50801EE1"/>
    <w:multiLevelType w:val="hybridMultilevel"/>
    <w:lvl w:ilvl="0">
      <w:lvlJc w:val="left"/>
      <w:lvlText w:val="(%1)"/>
      <w:numFmt w:val="lowerLetter"/>
      <w:start w:val="2"/>
    </w:lvl>
  </w:abstractNum>
  <w:abstractNum w:abstractNumId="49">
    <w:nsid w:val="488AC1A"/>
    <w:multiLevelType w:val="hybridMultilevel"/>
    <w:lvl w:ilvl="0">
      <w:lvlJc w:val="left"/>
      <w:lvlText w:val="(%1)"/>
      <w:numFmt w:val="lowerLetter"/>
      <w:start w:val="3"/>
    </w:lvl>
    <w:lvl w:ilvl="1">
      <w:lvlJc w:val="left"/>
      <w:lvlText w:val="(%2)"/>
      <w:numFmt w:val="lowerRoman"/>
      <w:start w:val="1"/>
    </w:lvl>
  </w:abstractNum>
  <w:abstractNum w:abstractNumId="50">
    <w:nsid w:val="5FB8011C"/>
    <w:multiLevelType w:val="hybridMultilevel"/>
    <w:lvl w:ilvl="0">
      <w:lvlJc w:val="left"/>
      <w:lvlText w:val="(%1)"/>
      <w:numFmt w:val="lowerRoman"/>
      <w:start w:val="9"/>
    </w:lvl>
  </w:abstractNum>
  <w:abstractNum w:abstractNumId="51">
    <w:nsid w:val="6AA78F7F"/>
    <w:multiLevelType w:val="hybridMultilevel"/>
    <w:lvl w:ilvl="0">
      <w:lvlJc w:val="left"/>
      <w:lvlText w:val="%1"/>
      <w:numFmt w:val="upperLetter"/>
      <w:start w:val="1"/>
    </w:lvl>
    <w:lvl w:ilvl="1">
      <w:lvlJc w:val="left"/>
      <w:lvlText w:val="(%2)"/>
      <w:numFmt w:val="lowerRoman"/>
      <w:start w:val="13"/>
    </w:lvl>
  </w:abstractNum>
  <w:abstractNum w:abstractNumId="52">
    <w:nsid w:val="7672BD23"/>
    <w:multiLevelType w:val="hybridMultilevel"/>
    <w:lvl w:ilvl="0">
      <w:lvlJc w:val="left"/>
      <w:lvlText w:val="(%1)"/>
      <w:numFmt w:val="upperLetter"/>
      <w:start w:val="1"/>
    </w:lvl>
    <w:lvl w:ilvl="1">
      <w:lvlJc w:val="left"/>
      <w:lvlText w:val="(%2)"/>
      <w:numFmt w:val="lowerRoman"/>
      <w:start w:val="15"/>
    </w:lvl>
  </w:abstractNum>
  <w:abstractNum w:abstractNumId="53">
    <w:nsid w:val="6FC75AF8"/>
    <w:multiLevelType w:val="hybridMultilevel"/>
    <w:lvl w:ilvl="0">
      <w:lvlJc w:val="left"/>
      <w:lvlText w:val="(%1)"/>
      <w:numFmt w:val="upperLetter"/>
      <w:start w:val="3"/>
    </w:lvl>
    <w:lvl w:ilvl="1">
      <w:lvlJc w:val="left"/>
      <w:lvlText w:val="(%2)"/>
      <w:numFmt w:val="lowerRoman"/>
      <w:start w:val="16"/>
    </w:lvl>
  </w:abstractNum>
  <w:abstractNum w:abstractNumId="54">
    <w:nsid w:val="6A5F7029"/>
    <w:multiLevelType w:val="hybridMultilevel"/>
    <w:lvl w:ilvl="0">
      <w:lvlJc w:val="left"/>
      <w:lvlText w:val="(%1)"/>
      <w:numFmt w:val="lowerLetter"/>
      <w:start w:val="4"/>
    </w:lvl>
    <w:lvl w:ilvl="1">
      <w:lvlJc w:val="left"/>
      <w:lvlText w:val="(%2)"/>
      <w:numFmt w:val="lowerRoman"/>
      <w:start w:val="1"/>
    </w:lvl>
  </w:abstractNum>
  <w:abstractNum w:abstractNumId="55">
    <w:nsid w:val="7D5E18F8"/>
    <w:multiLevelType w:val="hybridMultilevel"/>
    <w:lvl w:ilvl="0">
      <w:lvlJc w:val="left"/>
      <w:lvlText w:val="(%1)"/>
      <w:numFmt w:val="lowerRoman"/>
      <w:start w:val="8"/>
    </w:lvl>
  </w:abstractNum>
  <w:abstractNum w:abstractNumId="56">
    <w:nsid w:val="5F3534A4"/>
    <w:multiLevelType w:val="hybridMultilevel"/>
    <w:lvl w:ilvl="0">
      <w:lvlJc w:val="left"/>
      <w:lvlText w:val="(%1)"/>
      <w:numFmt w:val="lowerRoman"/>
      <w:start w:val="14"/>
    </w:lvl>
  </w:abstractNum>
  <w:abstractNum w:abstractNumId="57">
    <w:nsid w:val="73A1821B"/>
    <w:multiLevelType w:val="hybridMultilevel"/>
    <w:lvl w:ilvl="0">
      <w:lvlJc w:val="left"/>
      <w:lvlText w:val="(%1)"/>
      <w:numFmt w:val="lowerLetter"/>
      <w:start w:val="5"/>
    </w:lvl>
    <w:lvl w:ilvl="1">
      <w:lvlJc w:val="left"/>
      <w:lvlText w:val="(%2)"/>
      <w:numFmt w:val="lowerRoman"/>
      <w:start w:val="1"/>
    </w:lvl>
  </w:abstractNum>
  <w:abstractNum w:abstractNumId="58">
    <w:nsid w:val="7DE67713"/>
    <w:multiLevelType w:val="hybridMultilevel"/>
    <w:lvl w:ilvl="0">
      <w:lvlJc w:val="left"/>
      <w:lvlText w:val="%1"/>
      <w:numFmt w:val="lowerLetter"/>
      <w:start w:val="1"/>
    </w:lvl>
    <w:lvl w:ilvl="1">
      <w:lvlJc w:val="left"/>
      <w:lvlText w:val="(%2)"/>
      <w:numFmt w:val="lowerRoman"/>
      <w:start w:val="6"/>
    </w:lvl>
  </w:abstractNum>
  <w:abstractNum w:abstractNumId="59">
    <w:nsid w:val="555C55B5"/>
    <w:multiLevelType w:val="hybridMultilevel"/>
    <w:lvl w:ilvl="0">
      <w:lvlJc w:val="left"/>
      <w:lvlText w:val="(%1)"/>
      <w:numFmt w:val="lowerLetter"/>
      <w:start w:val="7"/>
    </w:lvl>
    <w:lvl w:ilvl="1">
      <w:lvlJc w:val="left"/>
      <w:lvlText w:val="(%2)"/>
      <w:numFmt w:val="lowerRoman"/>
      <w:start w:val="1"/>
    </w:lvl>
  </w:abstractNum>
  <w:abstractNum w:abstractNumId="60">
    <w:nsid w:val="3FA62ACA"/>
    <w:multiLevelType w:val="hybridMultilevel"/>
    <w:lvl w:ilvl="0">
      <w:lvlJc w:val="left"/>
      <w:lvlText w:val="%1"/>
      <w:numFmt w:val="lowerLetter"/>
      <w:start w:val="1"/>
    </w:lvl>
    <w:lvl w:ilvl="1">
      <w:lvlJc w:val="left"/>
      <w:lvlText w:val="(%2)"/>
      <w:numFmt w:val="lowerRoman"/>
      <w:start w:val="5"/>
    </w:lvl>
  </w:abstractNum>
  <w:abstractNum w:abstractNumId="61">
    <w:nsid w:val="14FCE74E"/>
    <w:multiLevelType w:val="hybridMultilevel"/>
    <w:lvl w:ilvl="0">
      <w:lvlJc w:val="left"/>
      <w:lvlText w:val="(%1)"/>
      <w:numFmt w:val="lowerLetter"/>
      <w:start w:val="26"/>
    </w:lvl>
    <w:lvl w:ilvl="1">
      <w:lvlJc w:val="left"/>
      <w:lvlText w:val="(%2)"/>
      <w:numFmt w:val="lowerRoman"/>
      <w:start w:val="7"/>
    </w:lvl>
  </w:abstractNum>
  <w:abstractNum w:abstractNumId="62">
    <w:nsid w:val="6A3DD3E8"/>
    <w:multiLevelType w:val="hybridMultilevel"/>
    <w:lvl w:ilvl="0">
      <w:lvlJc w:val="left"/>
      <w:lvlText w:val="(%1)"/>
      <w:numFmt w:val="lowerRoman"/>
      <w:start w:val="1"/>
    </w:lvl>
  </w:abstractNum>
  <w:abstractNum w:abstractNumId="63">
    <w:nsid w:val="71C91298"/>
    <w:multiLevelType w:val="hybridMultilevel"/>
    <w:lvl w:ilvl="0">
      <w:lvlJc w:val="left"/>
      <w:lvlText w:val="(%1)"/>
      <w:numFmt w:val="lowerLetter"/>
      <w:start w:val="1"/>
    </w:lvl>
  </w:abstractNum>
  <w:abstractNum w:abstractNumId="64">
    <w:nsid w:val="9DAF632"/>
    <w:multiLevelType w:val="hybridMultilevel"/>
    <w:lvl w:ilvl="0">
      <w:lvlJc w:val="left"/>
      <w:lvlText w:val="(%1)"/>
      <w:numFmt w:val="lowerLetter"/>
      <w:start w:val="8"/>
    </w:lvl>
  </w:abstractNum>
  <w:abstractNum w:abstractNumId="65">
    <w:nsid w:val="53299938"/>
    <w:multiLevelType w:val="hybridMultilevel"/>
    <w:lvl w:ilvl="0">
      <w:lvlJc w:val="left"/>
      <w:lvlText w:val="(%1)"/>
      <w:numFmt w:val="lowerLetter"/>
      <w:start w:val="18"/>
    </w:lvl>
  </w:abstractNum>
  <w:abstractNum w:abstractNumId="66">
    <w:nsid w:val="1FBFE8E0"/>
    <w:multiLevelType w:val="hybridMultilevel"/>
    <w:lvl w:ilvl="0">
      <w:lvlJc w:val="left"/>
      <w:lvlText w:val="(%1)"/>
      <w:numFmt w:val="lowerLetter"/>
      <w:start w:val="26"/>
    </w:lvl>
  </w:abstractNum>
  <w:abstractNum w:abstractNumId="67">
    <w:nsid w:val="5092CA79"/>
    <w:multiLevelType w:val="hybridMultilevel"/>
    <w:lvl w:ilvl="0">
      <w:lvlJc w:val="left"/>
      <w:lvlText w:val="(%1)"/>
      <w:numFmt w:val="lowerLetter"/>
      <w:start w:val="27"/>
    </w:lvl>
  </w:abstractNum>
  <w:abstractNum w:abstractNumId="68">
    <w:nsid w:val="1D545C4D"/>
    <w:multiLevelType w:val="hybridMultilevel"/>
    <w:lvl w:ilvl="0">
      <w:lvlJc w:val="left"/>
      <w:lvlText w:val="(%1)"/>
      <w:numFmt w:val="lowerLetter"/>
      <w:start w:val="1"/>
    </w:lvl>
  </w:abstractNum>
  <w:abstractNum w:abstractNumId="69">
    <w:nsid w:val="59ADEA3D"/>
    <w:multiLevelType w:val="hybridMultilevel"/>
    <w:lvl w:ilvl="0">
      <w:lvlJc w:val="left"/>
      <w:lvlText w:val="(%1)"/>
      <w:numFmt w:val="lowerLetter"/>
      <w:start w:val="2"/>
    </w:lvl>
    <w:lvl w:ilvl="1">
      <w:lvlJc w:val="left"/>
      <w:lvlText w:val="(%2)"/>
      <w:numFmt w:val="lowerRoman"/>
      <w:start w:val="1"/>
    </w:lvl>
  </w:abstractNum>
  <w:abstractNum w:abstractNumId="70">
    <w:nsid w:val="288F1A34"/>
    <w:multiLevelType w:val="hybridMultilevel"/>
    <w:lvl w:ilvl="0">
      <w:lvlJc w:val="left"/>
      <w:lvlText w:val="(%1)"/>
      <w:numFmt w:val="lowerLetter"/>
      <w:start w:val="1"/>
    </w:lvl>
  </w:abstractNum>
  <w:abstractNum w:abstractNumId="71">
    <w:nsid w:val="2A155DBC"/>
    <w:multiLevelType w:val="hybridMultilevel"/>
    <w:lvl w:ilvl="0">
      <w:lvlJc w:val="left"/>
      <w:lvlText w:val="(%1)"/>
      <w:numFmt w:val="lowerLetter"/>
      <w:start w:val="2"/>
    </w:lvl>
    <w:lvl w:ilvl="1">
      <w:lvlJc w:val="left"/>
      <w:lvlText w:val="(%2)"/>
      <w:numFmt w:val="lowerRoman"/>
      <w:start w:val="3"/>
    </w:lvl>
  </w:abstractNum>
  <w:abstractNum w:abstractNumId="72">
    <w:nsid w:val="1D9F6E5F"/>
    <w:multiLevelType w:val="hybridMultilevel"/>
    <w:lvl w:ilvl="0">
      <w:lvlJc w:val="left"/>
      <w:lvlText w:val="(%1)"/>
      <w:numFmt w:val="lowerLetter"/>
      <w:start w:val="1"/>
    </w:lvl>
  </w:abstractNum>
  <w:abstractNum w:abstractNumId="73">
    <w:nsid w:val="97E1B4E"/>
    <w:multiLevelType w:val="hybridMultilevel"/>
    <w:lvl w:ilvl="0">
      <w:lvlJc w:val="left"/>
      <w:lvlText w:val="(%1)"/>
      <w:numFmt w:val="lowerLetter"/>
      <w:start w:val="1"/>
    </w:lvl>
  </w:abstractNum>
  <w:abstractNum w:abstractNumId="74">
    <w:nsid w:val="51088277"/>
    <w:multiLevelType w:val="hybridMultilevel"/>
    <w:lvl w:ilvl="0">
      <w:lvlJc w:val="left"/>
      <w:lvlText w:val="(%1)"/>
      <w:numFmt w:val="lowerLetter"/>
      <w:start w:val="2"/>
    </w:lvl>
    <w:lvl w:ilvl="1">
      <w:lvlJc w:val="left"/>
      <w:lvlText w:val="(%2)"/>
      <w:numFmt w:val="lowerLetter"/>
      <w:start w:val="9"/>
    </w:lvl>
  </w:abstractNum>
  <w:abstractNum w:abstractNumId="75">
    <w:nsid w:val="1CA0C5FA"/>
    <w:multiLevelType w:val="hybridMultilevel"/>
    <w:lvl w:ilvl="0">
      <w:lvlJc w:val="left"/>
      <w:lvlText w:val="%1"/>
      <w:numFmt w:val="upperLetter"/>
      <w:start w:val="1"/>
    </w:lvl>
    <w:lvl w:ilvl="1">
      <w:lvlJc w:val="left"/>
      <w:lvlText w:val="(%2)"/>
      <w:numFmt w:val="lowerRoman"/>
      <w:start w:val="2"/>
    </w:lvl>
  </w:abstractNum>
  <w:abstractNum w:abstractNumId="76">
    <w:nsid w:val="53584BCB"/>
    <w:multiLevelType w:val="hybridMultilevel"/>
    <w:lvl w:ilvl="0">
      <w:lvlJc w:val="left"/>
      <w:lvlText w:val="(%1)"/>
      <w:numFmt w:val="upperLetter"/>
      <w:start w:val="2"/>
    </w:lvl>
    <w:lvl w:ilvl="1">
      <w:lvlJc w:val="left"/>
      <w:lvlText w:val="%2"/>
      <w:numFmt w:val="lowerRoman"/>
      <w:start w:val="1"/>
    </w:lvl>
  </w:abstractNum>
  <w:abstractNum w:abstractNumId="77">
    <w:nsid w:val="415E286C"/>
    <w:multiLevelType w:val="hybridMultilevel"/>
    <w:lvl w:ilvl="0">
      <w:lvlJc w:val="left"/>
      <w:lvlText w:val="(%1)"/>
      <w:numFmt w:val="lowerRoman"/>
      <w:start w:val="3"/>
    </w:lvl>
  </w:abstractNum>
  <w:abstractNum w:abstractNumId="78">
    <w:nsid w:val="7C58FD05"/>
    <w:multiLevelType w:val="hybridMultilevel"/>
    <w:lvl w:ilvl="0">
      <w:lvlJc w:val="left"/>
      <w:lvlText w:val="%1"/>
      <w:numFmt w:val="lowerLetter"/>
      <w:start w:val="1"/>
    </w:lvl>
    <w:lvl w:ilvl="1">
      <w:lvlJc w:val="left"/>
      <w:lvlText w:val="(%2)"/>
      <w:numFmt w:val="lowerRoman"/>
      <w:start w:val="7"/>
    </w:lvl>
  </w:abstractNum>
  <w:abstractNum w:abstractNumId="79">
    <w:nsid w:val="23D86AAC"/>
    <w:multiLevelType w:val="hybridMultilevel"/>
    <w:lvl w:ilvl="0">
      <w:lvlJc w:val="left"/>
      <w:lvlText w:val="(%1)"/>
      <w:numFmt w:val="lowerLetter"/>
      <w:start w:val="4"/>
    </w:lvl>
    <w:lvl w:ilvl="1">
      <w:lvlJc w:val="left"/>
      <w:lvlText w:val="(%2)"/>
      <w:numFmt w:val="lowerRoman"/>
      <w:start w:val="1"/>
    </w:lvl>
  </w:abstractNum>
  <w:abstractNum w:abstractNumId="80">
    <w:nsid w:val="45E6D486"/>
    <w:multiLevelType w:val="hybridMultilevel"/>
    <w:lvl w:ilvl="0">
      <w:lvlJc w:val="left"/>
      <w:lvlText w:val="(%1)"/>
      <w:numFmt w:val="upperLetter"/>
      <w:start w:val="1"/>
    </w:lvl>
  </w:abstractNum>
  <w:abstractNum w:abstractNumId="81">
    <w:nsid w:val="5C10FE21"/>
    <w:multiLevelType w:val="hybridMultilevel"/>
    <w:lvl w:ilvl="0">
      <w:lvlJc w:val="left"/>
      <w:lvlText w:val="(%1)"/>
      <w:numFmt w:val="upperLetter"/>
      <w:start w:val="2"/>
    </w:lvl>
  </w:abstractNum>
  <w:abstractNum w:abstractNumId="82">
    <w:nsid w:val="E7FFA2B"/>
    <w:multiLevelType w:val="hybridMultilevel"/>
    <w:lvl w:ilvl="0">
      <w:lvlJc w:val="left"/>
      <w:lvlText w:val="%1"/>
      <w:numFmt w:val="lowerRoman"/>
      <w:start w:val="1"/>
    </w:lvl>
    <w:lvl w:ilvl="1">
      <w:lvlJc w:val="left"/>
      <w:lvlText w:val="(%2)"/>
      <w:numFmt w:val="upperLetter"/>
      <w:start w:val="5"/>
    </w:lvl>
  </w:abstractNum>
  <w:abstractNum w:abstractNumId="83">
    <w:nsid w:val="3C5991AA"/>
    <w:multiLevelType w:val="hybridMultilevel"/>
    <w:lvl w:ilvl="0">
      <w:lvlJc w:val="left"/>
      <w:lvlText w:val="(%1)"/>
      <w:numFmt w:val="lowerRoman"/>
      <w:start w:val="3"/>
    </w:lvl>
    <w:lvl w:ilvl="1">
      <w:lvlJc w:val="left"/>
      <w:lvlText w:val="%2"/>
      <w:numFmt w:val="upperLetter"/>
      <w:start w:val="1"/>
    </w:lvl>
  </w:abstractNum>
  <w:abstractNum w:abstractNumId="84">
    <w:nsid w:val="4BD8591A"/>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85">
    <w:nsid w:val="78DF6A55"/>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86">
    <w:nsid w:val="39B7AAA2"/>
    <w:multiLevelType w:val="hybridMultilevel"/>
    <w:lvl w:ilvl="0">
      <w:lvlJc w:val="left"/>
      <w:lvlText w:val="%1"/>
      <w:numFmt w:val="lowerRoman"/>
      <w:start w:val="1"/>
    </w:lvl>
    <w:lvl w:ilvl="1">
      <w:lvlJc w:val="left"/>
      <w:lvlText w:val="(%2)"/>
      <w:numFmt w:val="upperLetter"/>
      <w:start w:val="3"/>
    </w:lvl>
  </w:abstractNum>
  <w:abstractNum w:abstractNumId="87">
    <w:nsid w:val="2B0D8DBE"/>
    <w:multiLevelType w:val="hybridMultilevel"/>
    <w:lvl w:ilvl="0">
      <w:lvlJc w:val="left"/>
      <w:lvlText w:val="(%1)"/>
      <w:numFmt w:val="lowerRoman"/>
      <w:start w:val="3"/>
    </w:lvl>
    <w:lvl w:ilvl="1">
      <w:lvlJc w:val="left"/>
      <w:lvlText w:val="%2"/>
      <w:numFmt w:val="upperLetter"/>
      <w:start w:val="1"/>
    </w:lvl>
  </w:abstractNum>
  <w:abstractNum w:abstractNumId="88">
    <w:nsid w:val="6C80EC70"/>
    <w:multiLevelType w:val="hybridMultilevel"/>
    <w:lvl w:ilvl="0">
      <w:lvlJc w:val="left"/>
      <w:lvlText w:val="%1"/>
      <w:numFmt w:val="lowerLetter"/>
      <w:start w:val="1"/>
    </w:lvl>
    <w:lvl w:ilvl="1">
      <w:lvlJc w:val="left"/>
      <w:lvlText w:val="(%2)"/>
      <w:numFmt w:val="lowerRoman"/>
      <w:start w:val="4"/>
    </w:lvl>
  </w:abstractNum>
  <w:abstractNum w:abstractNumId="89">
    <w:nsid w:val="379E21B5"/>
    <w:multiLevelType w:val="hybridMultilevel"/>
    <w:lvl w:ilvl="0">
      <w:lvlJc w:val="left"/>
      <w:lvlText w:val="(%1)"/>
      <w:numFmt w:val="lowerLetter"/>
      <w:start w:val="6"/>
    </w:lvl>
    <w:lvl w:ilvl="1">
      <w:lvlJc w:val="left"/>
      <w:lvlText w:val="%2"/>
      <w:numFmt w:val="lowerRoman"/>
      <w:start w:val="1"/>
    </w:lvl>
  </w:abstractNum>
  <w:abstractNum w:abstractNumId="90">
    <w:nsid w:val="69E373"/>
    <w:multiLevelType w:val="hybridMultilevel"/>
    <w:lvl w:ilvl="0">
      <w:lvlJc w:val="left"/>
      <w:lvlText w:val="(%1)"/>
      <w:numFmt w:val="lowerLetter"/>
      <w:start w:val="9"/>
    </w:lvl>
  </w:abstractNum>
  <w:abstractNum w:abstractNumId="91">
    <w:nsid w:val="2C27173B"/>
    <w:multiLevelType w:val="hybridMultilevel"/>
    <w:lvl w:ilvl="0">
      <w:lvlJc w:val="left"/>
      <w:lvlText w:val="(%1)"/>
      <w:numFmt w:val="lowerLetter"/>
      <w:start w:val="14"/>
    </w:lvl>
  </w:abstractNum>
  <w:abstractNum w:abstractNumId="92">
    <w:nsid w:val="4C9B0904"/>
    <w:multiLevelType w:val="hybridMultilevel"/>
    <w:lvl w:ilvl="0">
      <w:lvlJc w:val="left"/>
      <w:lvlText w:val="(%1)"/>
      <w:numFmt w:val="lowerRoman"/>
      <w:start w:val="1"/>
    </w:lvl>
  </w:abstractNum>
  <w:abstractNum w:abstractNumId="93">
    <w:nsid w:val="6AA7B75C"/>
    <w:multiLevelType w:val="hybridMultilevel"/>
    <w:lvl w:ilvl="0">
      <w:lvlJc w:val="left"/>
      <w:lvlText w:val="(%1)"/>
      <w:numFmt w:val="lowerRoman"/>
      <w:start w:val="2"/>
    </w:lvl>
  </w:abstractNum>
  <w:abstractNum w:abstractNumId="94">
    <w:nsid w:val="1DF029D3"/>
    <w:multiLevelType w:val="hybridMultilevel"/>
    <w:lvl w:ilvl="0">
      <w:lvlJc w:val="left"/>
      <w:lvlText w:val="(%1)"/>
      <w:numFmt w:val="lowerRoman"/>
      <w:start w:val="3"/>
    </w:lvl>
  </w:abstractNum>
  <w:abstractNum w:abstractNumId="95">
    <w:nsid w:val="5675FF36"/>
    <w:multiLevelType w:val="hybridMultilevel"/>
    <w:lvl w:ilvl="0">
      <w:lvlJc w:val="left"/>
      <w:lvlText w:val="(%1)"/>
      <w:numFmt w:val="lowerRoman"/>
      <w:start w:val="4"/>
    </w:lvl>
  </w:abstractNum>
  <w:abstractNum w:abstractNumId="96">
    <w:nsid w:val="3DD15094"/>
    <w:multiLevelType w:val="hybridMultilevel"/>
    <w:lvl w:ilvl="0">
      <w:lvlJc w:val="left"/>
      <w:lvlText w:val="(%1)"/>
      <w:numFmt w:val="lowerLetter"/>
      <w:start w:val="1"/>
    </w:lvl>
  </w:abstractNum>
  <w:abstractNum w:abstractNumId="97">
    <w:nsid w:val="3DB012B3"/>
    <w:multiLevelType w:val="hybridMultilevel"/>
    <w:lvl w:ilvl="0">
      <w:lvlJc w:val="left"/>
      <w:lvlText w:val="(%1)"/>
      <w:numFmt w:val="lowerLetter"/>
      <w:start w:val="4"/>
    </w:lvl>
  </w:abstractNum>
  <w:abstractNum w:abstractNumId="98">
    <w:nsid w:val="2708C9AF"/>
    <w:multiLevelType w:val="hybridMultilevel"/>
    <w:lvl w:ilvl="0">
      <w:lvlJc w:val="left"/>
      <w:lvlText w:val="(%1)"/>
      <w:numFmt w:val="lowerLetter"/>
      <w:start w:val="5"/>
    </w:lvl>
  </w:abstractNum>
  <w:abstractNum w:abstractNumId="99">
    <w:nsid w:val="5B25ACE2"/>
    <w:multiLevelType w:val="hybridMultilevel"/>
    <w:lvl w:ilvl="0">
      <w:lvlJc w:val="left"/>
      <w:lvlText w:val="(%1)"/>
      <w:numFmt w:val="lowerLetter"/>
      <w:start w:val="6"/>
    </w:lvl>
  </w:abstractNum>
  <w:abstractNum w:abstractNumId="100">
    <w:nsid w:val="175DFCF0"/>
    <w:multiLevelType w:val="hybridMultilevel"/>
    <w:lvl w:ilvl="0">
      <w:lvlJc w:val="left"/>
      <w:lvlText w:val="(%1)"/>
      <w:numFmt w:val="lowerLetter"/>
      <w:start w:val="8"/>
    </w:lvl>
  </w:abstractNum>
  <w:abstractNum w:abstractNumId="101">
    <w:nsid w:val="4F97E3E4"/>
    <w:multiLevelType w:val="hybridMultilevel"/>
    <w:lvl w:ilvl="0">
      <w:lvlJc w:val="left"/>
      <w:lvlText w:val="(%1)"/>
      <w:numFmt w:val="lowerRoman"/>
      <w:start w:val="1"/>
    </w:lvl>
  </w:abstractNum>
  <w:abstractNum w:abstractNumId="102">
    <w:nsid w:val="53B0A9E"/>
    <w:multiLevelType w:val="hybridMultilevel"/>
    <w:lvl w:ilvl="0">
      <w:lvlJc w:val="left"/>
      <w:lvlText w:val="(%1)"/>
      <w:numFmt w:val="lowerRoman"/>
      <w:start w:val="3"/>
    </w:lvl>
  </w:abstractNum>
  <w:abstractNum w:abstractNumId="103">
    <w:nsid w:val="34FD6B4F"/>
    <w:multiLevelType w:val="hybridMultilevel"/>
    <w:lvl w:ilvl="0">
      <w:lvlJc w:val="left"/>
      <w:lvlText w:val="(%1)"/>
      <w:numFmt w:val="lowerRoman"/>
      <w:start w:val="1"/>
    </w:lvl>
  </w:abstractNum>
  <w:abstractNum w:abstractNumId="104">
    <w:nsid w:val="5915FF32"/>
    <w:multiLevelType w:val="hybridMultilevel"/>
    <w:lvl w:ilvl="0">
      <w:lvlJc w:val="left"/>
      <w:lvlText w:val="(%1)"/>
      <w:numFmt w:val="lowerLetter"/>
      <w:start w:val="10"/>
    </w:lvl>
    <w:lvl w:ilvl="1">
      <w:lvlJc w:val="left"/>
      <w:lvlText w:val="(%2)"/>
      <w:numFmt w:val="decimal"/>
    </w:lvl>
    <w:lvl w:ilvl="2">
      <w:lvlJc w:val="left"/>
      <w:lvlText w:val="(%3)"/>
      <w:numFmt w:val="lowerLetter"/>
      <w:start w:val="9"/>
    </w:lvl>
  </w:abstractNum>
  <w:abstractNum w:abstractNumId="105">
    <w:nsid w:val="56438D1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106">
    <w:nsid w:val="519E3149"/>
    <w:multiLevelType w:val="hybridMultilevel"/>
    <w:lvl w:ilvl="0">
      <w:lvlJc w:val="left"/>
      <w:lvlText w:val="(%1)"/>
      <w:numFmt w:val="lowerRoman"/>
      <w:start w:val="3"/>
    </w:lvl>
  </w:abstractNum>
  <w:abstractNum w:abstractNumId="107">
    <w:nsid w:val="2C6E4AFD"/>
    <w:multiLevelType w:val="hybridMultilevel"/>
    <w:lvl w:ilvl="0">
      <w:lvlJc w:val="left"/>
      <w:lvlText w:val="%1"/>
      <w:numFmt w:val="lowerLetter"/>
      <w:start w:val="1"/>
    </w:lvl>
    <w:lvl w:ilvl="1">
      <w:lvlJc w:val="left"/>
      <w:lvlText w:val="(%2)"/>
      <w:numFmt w:val="lowerRoman"/>
      <w:start w:val="6"/>
    </w:lvl>
  </w:abstractNum>
  <w:abstractNum w:abstractNumId="108">
    <w:nsid w:val="17A1B582"/>
    <w:multiLevelType w:val="hybridMultilevel"/>
    <w:lvl w:ilvl="0">
      <w:lvlJc w:val="left"/>
      <w:lvlText w:val="(%1)"/>
      <w:numFmt w:val="lowerLetter"/>
      <w:start w:val="11"/>
    </w:lvl>
    <w:lvl w:ilvl="1">
      <w:lvlJc w:val="left"/>
      <w:lvlText w:val="(%2)"/>
      <w:numFmt w:val="lowerRoman"/>
      <w:start w:val="1"/>
    </w:lvl>
  </w:abstractNum>
  <w:abstractNum w:abstractNumId="109">
    <w:nsid w:val="4DF72E4E"/>
    <w:multiLevelType w:val="hybridMultilevel"/>
    <w:lvl w:ilvl="0">
      <w:lvlJc w:val="left"/>
      <w:lvlText w:val="(%1)"/>
      <w:numFmt w:val="lowerRoman"/>
      <w:start w:val="2"/>
    </w:lvl>
  </w:abstractNum>
  <w:abstractNum w:abstractNumId="110">
    <w:nsid w:val="5046B5A9"/>
    <w:multiLevelType w:val="hybridMultilevel"/>
    <w:lvl w:ilvl="0">
      <w:lvlJc w:val="left"/>
      <w:lvlText w:val="%1"/>
      <w:numFmt w:val="lowerLetter"/>
      <w:start w:val="1"/>
    </w:lvl>
    <w:lvl w:ilvl="1">
      <w:lvlJc w:val="left"/>
      <w:lvlText w:val="(%2)"/>
      <w:numFmt w:val="lowerRoman"/>
      <w:start w:val="6"/>
    </w:lvl>
  </w:abstractNum>
  <w:abstractNum w:abstractNumId="111">
    <w:nsid w:val="5D888A08"/>
    <w:multiLevelType w:val="hybridMultilevel"/>
    <w:lvl w:ilvl="0">
      <w:lvlJc w:val="left"/>
      <w:lvlText w:val="(%1)"/>
      <w:numFmt w:val="lowerLetter"/>
      <w:start w:val="12"/>
    </w:lvl>
    <w:lvl w:ilvl="1">
      <w:lvlJc w:val="left"/>
      <w:lvlText w:val="%2"/>
      <w:numFmt w:val="lowerRoman"/>
      <w:start w:val="1"/>
    </w:lvl>
  </w:abstractNum>
  <w:abstractNum w:abstractNumId="112">
    <w:nsid w:val="2A082C70"/>
    <w:multiLevelType w:val="hybridMultilevel"/>
    <w:lvl w:ilvl="0">
      <w:lvlJc w:val="left"/>
      <w:lvlText w:val="(%1)"/>
      <w:numFmt w:val="lowerLetter"/>
      <w:start w:val="1"/>
    </w:lvl>
  </w:abstractNum>
  <w:abstractNum w:abstractNumId="113">
    <w:nsid w:val="5EC6AFD4"/>
    <w:multiLevelType w:val="hybridMultilevel"/>
    <w:lvl w:ilvl="0">
      <w:lvlJc w:val="left"/>
      <w:lvlText w:val="(%1)"/>
      <w:numFmt w:val="lowerLetter"/>
      <w:start w:val="3"/>
    </w:lvl>
    <w:lvl w:ilvl="1">
      <w:lvlJc w:val="left"/>
      <w:lvlText w:val="(%2)"/>
      <w:numFmt w:val="lowerRoman"/>
      <w:start w:val="1"/>
    </w:lvl>
  </w:abstractNum>
  <w:abstractNum w:abstractNumId="114">
    <w:nsid w:val="19E21BB2"/>
    <w:multiLevelType w:val="hybridMultilevel"/>
    <w:lvl w:ilvl="0">
      <w:lvlJc w:val="left"/>
      <w:lvlText w:val="(%1)"/>
      <w:numFmt w:val="lowerLetter"/>
      <w:start w:val="1"/>
    </w:lvl>
  </w:abstractNum>
  <w:abstractNum w:abstractNumId="115">
    <w:nsid w:val="75E0858A"/>
    <w:multiLevelType w:val="hybridMultilevel"/>
    <w:lvl w:ilvl="0">
      <w:lvlJc w:val="left"/>
      <w:lvlText w:val="(%1)"/>
      <w:numFmt w:val="lowerLetter"/>
      <w:start w:val="3"/>
    </w:lvl>
  </w:abstractNum>
  <w:abstractNum w:abstractNumId="116">
    <w:nsid w:val="57A61A29"/>
    <w:multiLevelType w:val="hybridMultilevel"/>
    <w:lvl w:ilvl="0">
      <w:lvlJc w:val="left"/>
      <w:lvlText w:val="(%1)"/>
      <w:numFmt w:val="lowerLetter"/>
      <w:start w:val="6"/>
    </w:lvl>
  </w:abstractNum>
  <w:abstractNum w:abstractNumId="117">
    <w:nsid w:val="5399C654"/>
    <w:multiLevelType w:val="hybridMultilevel"/>
    <w:lvl w:ilvl="0">
      <w:lvlJc w:val="left"/>
      <w:lvlText w:val="%1"/>
      <w:numFmt w:val="upperLetter"/>
      <w:start w:val="1"/>
    </w:lvl>
    <w:lvl w:ilvl="1">
      <w:lvlJc w:val="left"/>
      <w:lvlText w:val="(%2)"/>
      <w:numFmt w:val="lowerLetter"/>
      <w:start w:val="8"/>
    </w:lvl>
  </w:abstractNum>
  <w:abstractNum w:abstractNumId="118">
    <w:nsid w:val="20EE1348"/>
    <w:multiLevelType w:val="hybridMultilevel"/>
    <w:lvl w:ilvl="0">
      <w:lvlJc w:val="left"/>
      <w:lvlText w:val="(%1)"/>
      <w:numFmt w:val="upperLetter"/>
      <w:start w:val="4"/>
    </w:lvl>
    <w:lvl w:ilvl="1">
      <w:lvlJc w:val="left"/>
      <w:lvlText w:val="%2"/>
      <w:numFmt w:val="lowerLetter"/>
      <w:start w:val="1"/>
    </w:lvl>
  </w:abstractNum>
  <w:abstractNum w:abstractNumId="119">
    <w:nsid w:val="4427069A"/>
    <w:multiLevelType w:val="hybridMultilevel"/>
    <w:lvl w:ilvl="0">
      <w:lvlJc w:val="left"/>
      <w:lvlText w:val="(%1)"/>
      <w:numFmt w:val="lowerLetter"/>
      <w:start w:val="9"/>
    </w:lvl>
  </w:abstractNum>
  <w:abstractNum w:abstractNumId="120">
    <w:nsid w:val="B37E80A"/>
    <w:multiLevelType w:val="hybridMultilevel"/>
    <w:lvl w:ilvl="0">
      <w:lvlJc w:val="left"/>
      <w:lvlText w:val="%1."/>
      <w:numFmt w:val="decimal"/>
      <w:start w:val="1"/>
    </w:lvl>
  </w:abstractNum>
  <w:abstractNum w:abstractNumId="121">
    <w:nsid w:val="2157F6BC"/>
    <w:multiLevelType w:val="hybridMultilevel"/>
    <w:lvl w:ilvl="0">
      <w:lvlJc w:val="left"/>
      <w:lvlText w:val="(%1)"/>
      <w:numFmt w:val="lowerRoman"/>
      <w:start w:val="1"/>
    </w:lvl>
  </w:abstractNum>
  <w:abstractNum w:abstractNumId="122">
    <w:nsid w:val="704E1DD5"/>
    <w:multiLevelType w:val="hybridMultilevel"/>
    <w:lvl w:ilvl="0">
      <w:lvlJc w:val="left"/>
      <w:lvlText w:val="(%1)"/>
      <w:numFmt w:val="upperLetter"/>
      <w:start w:val="1"/>
    </w:lvl>
  </w:abstractNum>
  <w:abstractNum w:abstractNumId="123">
    <w:nsid w:val="57D2F10E"/>
    <w:multiLevelType w:val="hybridMultilevel"/>
    <w:lvl w:ilvl="0">
      <w:lvlJc w:val="left"/>
      <w:lvlText w:val="1"/>
      <w:numFmt w:val="bullet"/>
      <w:start w:val="1"/>
    </w:lvl>
  </w:abstractNum>
  <w:abstractNum w:abstractNumId="124">
    <w:nsid w:val="BFFAE18"/>
    <w:multiLevelType w:val="hybridMultilevel"/>
    <w:lvl w:ilvl="0">
      <w:lvlJc w:val="left"/>
      <w:lvlText w:val="(%1)"/>
      <w:numFmt w:val="upperLetter"/>
      <w:start w:val="3"/>
    </w:lvl>
  </w:abstractNum>
  <w:abstractNum w:abstractNumId="125">
    <w:nsid w:val="E3E47A8"/>
    <w:multiLevelType w:val="hybridMultilevel"/>
    <w:lvl w:ilvl="0">
      <w:lvlJc w:val="left"/>
      <w:lvlText w:val="2"/>
      <w:numFmt w:val="bullet"/>
      <w:start w:val="1"/>
    </w:lvl>
  </w:abstractNum>
  <w:abstractNum w:abstractNumId="126">
    <w:nsid w:val="2E48F044"/>
    <w:multiLevelType w:val="hybridMultilevel"/>
    <w:lvl w:ilvl="0">
      <w:lvlJc w:val="left"/>
      <w:lvlText w:val="3"/>
      <w:numFmt w:val="bullet"/>
      <w:start w:val="1"/>
    </w:lvl>
  </w:abstractNum>
  <w:abstractNum w:abstractNumId="127">
    <w:nsid w:val="49D0FEAC"/>
    <w:multiLevelType w:val="hybridMultilevel"/>
    <w:lvl w:ilvl="0">
      <w:lvlJc w:val="left"/>
      <w:lvlText w:val="4"/>
      <w:numFmt w:val="bullet"/>
      <w:start w:val="1"/>
    </w:lvl>
  </w:abstractNum>
  <w:abstractNum w:abstractNumId="128">
    <w:nsid w:val="4BEE5A5B"/>
    <w:multiLevelType w:val="hybridMultilevel"/>
    <w:lvl w:ilvl="0">
      <w:lvlJc w:val="left"/>
      <w:lvlText w:val="(%1)"/>
      <w:numFmt w:val="lowerLetter"/>
      <w:start w:val="1"/>
    </w:lvl>
  </w:abstractNum>
  <w:abstractNum w:abstractNumId="129">
    <w:nsid w:val="5551B9F3"/>
    <w:multiLevelType w:val="hybridMultilevel"/>
    <w:lvl w:ilvl="0">
      <w:lvlJc w:val="left"/>
      <w:lvlText w:val="(%1)"/>
      <w:numFmt w:val="lowerLetter"/>
      <w:start w:val="2"/>
    </w:lvl>
  </w:abstractNum>
  <w:abstractNum w:abstractNumId="130">
    <w:nsid w:val="24F6AB8E"/>
    <w:multiLevelType w:val="hybridMultilevel"/>
    <w:lvl w:ilvl="0">
      <w:lvlJc w:val="left"/>
      <w:lvlText w:val="(%1)"/>
      <w:numFmt w:val="lowerLetter"/>
      <w:start w:val="12"/>
    </w:lvl>
  </w:abstractNum>
  <w:abstractNum w:abstractNumId="131">
    <w:nsid w:val="634C574C"/>
    <w:multiLevelType w:val="hybridMultilevel"/>
    <w:lvl w:ilvl="0">
      <w:lvlJc w:val="left"/>
      <w:lvlText w:val="(%1)"/>
      <w:numFmt w:val="lowerLetter"/>
      <w:start w:val="1"/>
    </w:lvl>
  </w:abstractNum>
  <w:abstractNum w:abstractNumId="132">
    <w:nsid w:val="24E99DD7"/>
    <w:multiLevelType w:val="hybridMultilevel"/>
    <w:lvl w:ilvl="0">
      <w:lvlJc w:val="left"/>
      <w:lvlText w:val="(%1)"/>
      <w:numFmt w:val="lowerLetter"/>
      <w:start w:val="3"/>
    </w:lvl>
  </w:abstractNum>
  <w:abstractNum w:abstractNumId="133">
    <w:nsid w:val="2A31B62D"/>
    <w:multiLevelType w:val="hybridMultilevel"/>
    <w:lvl w:ilvl="0">
      <w:lvlJc w:val="left"/>
      <w:lvlText w:val="(%1)"/>
      <w:numFmt w:val="lowerLetter"/>
      <w:start w:val="1"/>
    </w:lvl>
  </w:abstractNum>
  <w:abstractNum w:abstractNumId="134">
    <w:nsid w:val="1849C29B"/>
    <w:multiLevelType w:val="hybridMultilevel"/>
    <w:lvl w:ilvl="0">
      <w:lvlJc w:val="left"/>
      <w:lvlText w:val="(%1)"/>
      <w:numFmt w:val="lowerLetter"/>
      <w:start w:val="1"/>
    </w:lvl>
  </w:abstractNum>
  <w:abstractNum w:abstractNumId="135">
    <w:nsid w:val="7DFF9D09"/>
    <w:multiLevelType w:val="hybridMultilevel"/>
    <w:lvl w:ilvl="0">
      <w:lvlJc w:val="left"/>
      <w:lvlText w:val="(%1)"/>
      <w:numFmt w:val="lowerLetter"/>
      <w:start w:val="2"/>
    </w:lvl>
  </w:abstractNum>
  <w:abstractNum w:abstractNumId="136">
    <w:nsid w:val="754342"/>
    <w:multiLevelType w:val="hybridMultilevel"/>
    <w:lvl w:ilvl="0">
      <w:lvlJc w:val="left"/>
      <w:lvlText w:val="(%1)"/>
      <w:numFmt w:val="lowerLetter"/>
      <w:start w:val="13"/>
    </w:lvl>
  </w:abstractNum>
  <w:abstractNum w:abstractNumId="137">
    <w:nsid w:val="69E7F3E5"/>
    <w:multiLevelType w:val="hybridMultilevel"/>
    <w:lvl w:ilvl="0">
      <w:lvlJc w:val="left"/>
      <w:lvlText w:val="(%1)"/>
      <w:numFmt w:val="lowerLetter"/>
      <w:start w:val="1"/>
    </w:lvl>
  </w:abstractNum>
  <w:abstractNum w:abstractNumId="138">
    <w:nsid w:val="2A6DE806"/>
    <w:multiLevelType w:val="hybridMultilevel"/>
    <w:lvl w:ilvl="0">
      <w:lvlJc w:val="left"/>
      <w:lvlText w:val="(%1)"/>
      <w:numFmt w:val="lowerRoman"/>
      <w:start w:val="4"/>
    </w:lvl>
  </w:abstractNum>
  <w:abstractNum w:abstractNumId="139">
    <w:nsid w:val="1816F8C4"/>
    <w:multiLevelType w:val="hybridMultilevel"/>
    <w:lvl w:ilvl="0">
      <w:lvlJc w:val="left"/>
      <w:lvlText w:val="(%1)"/>
      <w:numFmt w:val="lowerLetter"/>
      <w:start w:val="1"/>
    </w:lvl>
  </w:abstractNum>
  <w:abstractNum w:abstractNumId="140">
    <w:nsid w:val="37DF2233"/>
    <w:multiLevelType w:val="hybridMultilevel"/>
    <w:lvl w:ilvl="0">
      <w:lvlJc w:val="left"/>
      <w:lvlText w:val="1"/>
      <w:numFmt w:val="bullet"/>
      <w:start w:val="1"/>
    </w:lvl>
  </w:abstractNum>
  <w:abstractNum w:abstractNumId="141">
    <w:nsid w:val="7AB49DAF"/>
    <w:multiLevelType w:val="hybridMultilevel"/>
    <w:lvl w:ilvl="0">
      <w:lvlJc w:val="left"/>
      <w:lvlText w:val="2"/>
      <w:numFmt w:val="bullet"/>
      <w:start w:val="1"/>
    </w:lvl>
  </w:abstractNum>
  <w:abstractNum w:abstractNumId="142">
    <w:nsid w:val="759F82CD"/>
    <w:multiLevelType w:val="hybridMultilevel"/>
    <w:lvl w:ilvl="0">
      <w:lvlJc w:val="left"/>
      <w:lvlText w:val="%1."/>
      <w:numFmt w:val="decimal"/>
      <w:start w:val="1"/>
    </w:lvl>
  </w:abstractNum>
  <w:abstractNum w:abstractNumId="143">
    <w:nsid w:val="61E74EA3"/>
    <w:multiLevelType w:val="hybridMultilevel"/>
    <w:lvl w:ilvl="0">
      <w:lvlJc w:val="left"/>
      <w:lvlText w:val="%1."/>
      <w:numFmt w:val="decimal"/>
      <w:start w:val="2"/>
    </w:lvl>
  </w:abstractNum>
  <w:abstractNum w:abstractNumId="144">
    <w:nsid w:val="597B4D84"/>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2026-03-30T17:21:10Z</dcterms:created>
  <dcterms:modified xsi:type="dcterms:W3CDTF">2026-03-30T17:21:10Z</dcterms:modified>
</cp:coreProperties>
</file>